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ECE" w:rsidRDefault="00DA0ECE" w:rsidP="00A922D0">
      <w:pPr>
        <w:rPr>
          <w:rFonts w:ascii="Times New Roman" w:hAnsi="Times New Roman"/>
          <w:b/>
          <w:color w:val="000000"/>
          <w:sz w:val="32"/>
          <w:szCs w:val="32"/>
        </w:rPr>
      </w:pPr>
      <w:r w:rsidRPr="00A922D0">
        <w:rPr>
          <w:rFonts w:ascii="Times New Roman" w:hAnsi="Times New Roman" w:hint="eastAsia"/>
          <w:b/>
          <w:color w:val="000000"/>
          <w:sz w:val="32"/>
          <w:szCs w:val="32"/>
        </w:rPr>
        <w:t>张</w:t>
      </w:r>
      <w:r w:rsidRPr="00A922D0">
        <w:rPr>
          <w:rFonts w:ascii="Times New Roman" w:hAnsi="Times New Roman"/>
          <w:b/>
          <w:color w:val="000000"/>
          <w:sz w:val="32"/>
          <w:szCs w:val="32"/>
        </w:rPr>
        <w:t xml:space="preserve"> </w:t>
      </w:r>
      <w:r w:rsidRPr="00A922D0">
        <w:rPr>
          <w:rFonts w:ascii="Times New Roman" w:hAnsi="Times New Roman" w:hint="eastAsia"/>
          <w:b/>
          <w:color w:val="000000"/>
          <w:sz w:val="32"/>
          <w:szCs w:val="32"/>
        </w:rPr>
        <w:t>捷</w:t>
      </w:r>
      <w:r w:rsidR="000D1E80">
        <w:rPr>
          <w:rFonts w:ascii="Times New Roman" w:hAnsi="Times New Roman" w:hint="eastAsia"/>
          <w:b/>
          <w:color w:val="000000"/>
          <w:sz w:val="32"/>
          <w:szCs w:val="32"/>
        </w:rPr>
        <w:t xml:space="preserve"> </w:t>
      </w:r>
      <w:r w:rsidR="000D1E80">
        <w:rPr>
          <w:rFonts w:ascii="Times New Roman" w:hAnsi="Times New Roman" w:hint="eastAsia"/>
          <w:b/>
          <w:color w:val="000000"/>
          <w:sz w:val="32"/>
          <w:szCs w:val="32"/>
        </w:rPr>
        <w:t>教授</w:t>
      </w:r>
    </w:p>
    <w:p w:rsidR="000D1E80" w:rsidRPr="000D1E80" w:rsidRDefault="000D1E80" w:rsidP="00A922D0">
      <w:pPr>
        <w:rPr>
          <w:rFonts w:ascii="Times New Roman" w:hAnsi="Times New Roman" w:hint="eastAsia"/>
          <w:b/>
          <w:color w:val="000000"/>
          <w:sz w:val="24"/>
          <w:szCs w:val="32"/>
        </w:rPr>
      </w:pPr>
      <w:r w:rsidRPr="000D1E80">
        <w:rPr>
          <w:rFonts w:ascii="Times New Roman" w:hAnsi="Times New Roman" w:hint="eastAsia"/>
          <w:b/>
          <w:color w:val="000000"/>
          <w:sz w:val="24"/>
          <w:szCs w:val="32"/>
        </w:rPr>
        <w:t>研究方向：旅游地理与旅游规划，旅游景观，声景观，文化景观，信息地理，大数据</w:t>
      </w:r>
      <w:r>
        <w:rPr>
          <w:rFonts w:ascii="Times New Roman" w:hAnsi="Times New Roman" w:hint="eastAsia"/>
          <w:b/>
          <w:color w:val="000000"/>
          <w:sz w:val="24"/>
          <w:szCs w:val="32"/>
        </w:rPr>
        <w:t>，旅游流</w:t>
      </w:r>
    </w:p>
    <w:p w:rsidR="00DA0ECE" w:rsidRPr="00A922D0" w:rsidRDefault="00DA0ECE" w:rsidP="00A922D0">
      <w:pPr>
        <w:rPr>
          <w:rFonts w:ascii="Times New Roman" w:hAnsi="Times New Roman"/>
          <w:b/>
          <w:color w:val="000000"/>
          <w:sz w:val="32"/>
          <w:szCs w:val="32"/>
        </w:rPr>
      </w:pPr>
    </w:p>
    <w:p w:rsidR="00DA0ECE" w:rsidRPr="00B96B04" w:rsidRDefault="00DA0ECE" w:rsidP="0088005A">
      <w:pPr>
        <w:outlineLvl w:val="0"/>
        <w:rPr>
          <w:sz w:val="32"/>
          <w:szCs w:val="32"/>
        </w:rPr>
      </w:pPr>
      <w:r>
        <w:rPr>
          <w:rFonts w:hint="eastAsia"/>
          <w:sz w:val="32"/>
          <w:szCs w:val="32"/>
        </w:rPr>
        <w:t>一、</w:t>
      </w:r>
      <w:r w:rsidRPr="00B96B04">
        <w:rPr>
          <w:rFonts w:hint="eastAsia"/>
          <w:sz w:val="32"/>
          <w:szCs w:val="32"/>
        </w:rPr>
        <w:t>个人简介：</w:t>
      </w:r>
    </w:p>
    <w:p w:rsidR="00DA0ECE" w:rsidRPr="00AD6C3C" w:rsidRDefault="00DA0ECE" w:rsidP="00FE3A2E">
      <w:pPr>
        <w:ind w:firstLineChars="200" w:firstLine="420"/>
        <w:jc w:val="left"/>
        <w:rPr>
          <w:rFonts w:ascii="Times New Roman" w:hAnsi="Times New Roman"/>
          <w:color w:val="000000"/>
          <w:szCs w:val="21"/>
          <w:shd w:val="clear" w:color="auto" w:fill="FFFFFF"/>
        </w:rPr>
      </w:pPr>
      <w:r w:rsidRPr="00AD6C3C">
        <w:rPr>
          <w:rFonts w:ascii="Times New Roman" w:hAnsi="Times New Roman" w:hint="eastAsia"/>
          <w:color w:val="000000"/>
          <w:szCs w:val="21"/>
          <w:shd w:val="clear" w:color="auto" w:fill="FFFFFF"/>
        </w:rPr>
        <w:t>南京大学地理与海洋科学学院教授，旅游地理与旅游规划专业博士生导师，南京大学旅游研究所所长。社会兼职包括中国地理学会旅游地理专业委员会主任、教育部旅游管理专业教学指导委员会副主任、</w:t>
      </w:r>
      <w:r w:rsidRPr="00AD6C3C">
        <w:rPr>
          <w:rFonts w:ascii="Times New Roman" w:hAnsi="Times New Roman"/>
          <w:color w:val="000000"/>
          <w:szCs w:val="21"/>
          <w:shd w:val="clear" w:color="auto" w:fill="FFFFFF"/>
        </w:rPr>
        <w:t>IGU</w:t>
      </w:r>
      <w:r w:rsidRPr="00AD6C3C">
        <w:rPr>
          <w:rFonts w:ascii="Times New Roman" w:hAnsi="Times New Roman" w:hint="eastAsia"/>
          <w:color w:val="000000"/>
          <w:szCs w:val="21"/>
          <w:shd w:val="clear" w:color="auto" w:fill="FFFFFF"/>
        </w:rPr>
        <w:t>（国际地理联合会）旅游休闲与全球变化专业委员会执行委员、</w:t>
      </w:r>
      <w:r w:rsidR="00FB23C8">
        <w:rPr>
          <w:rFonts w:ascii="Times New Roman" w:hAnsi="Times New Roman" w:hint="eastAsia"/>
          <w:color w:val="000000"/>
          <w:szCs w:val="21"/>
          <w:shd w:val="clear" w:color="auto" w:fill="FFFFFF"/>
        </w:rPr>
        <w:t>前</w:t>
      </w:r>
      <w:r w:rsidRPr="00AD6C3C">
        <w:rPr>
          <w:rFonts w:ascii="Times New Roman" w:hAnsi="Times New Roman" w:hint="eastAsia"/>
          <w:color w:val="000000"/>
          <w:szCs w:val="21"/>
          <w:shd w:val="clear" w:color="auto" w:fill="FFFFFF"/>
        </w:rPr>
        <w:t>国际旅游研究会（</w:t>
      </w:r>
      <w:r w:rsidRPr="00AD6C3C">
        <w:rPr>
          <w:rFonts w:ascii="Times New Roman" w:hAnsi="Times New Roman"/>
          <w:color w:val="000000"/>
          <w:szCs w:val="21"/>
          <w:shd w:val="clear" w:color="auto" w:fill="FFFFFF"/>
        </w:rPr>
        <w:t>ITSA</w:t>
      </w:r>
      <w:r w:rsidRPr="00AD6C3C">
        <w:rPr>
          <w:rFonts w:ascii="Times New Roman" w:hAnsi="Times New Roman" w:hint="eastAsia"/>
          <w:color w:val="000000"/>
          <w:szCs w:val="21"/>
          <w:shd w:val="clear" w:color="auto" w:fill="FFFFFF"/>
        </w:rPr>
        <w:t>）副主席</w:t>
      </w:r>
      <w:r w:rsidR="00FB23C8">
        <w:rPr>
          <w:rFonts w:ascii="Times New Roman" w:hAnsi="Times New Roman" w:hint="eastAsia"/>
          <w:color w:val="000000"/>
          <w:szCs w:val="21"/>
          <w:shd w:val="clear" w:color="auto" w:fill="FFFFFF"/>
        </w:rPr>
        <w:t>（</w:t>
      </w:r>
      <w:r w:rsidR="00FB23C8">
        <w:rPr>
          <w:rFonts w:ascii="Times New Roman" w:hAnsi="Times New Roman" w:hint="eastAsia"/>
          <w:color w:val="000000"/>
          <w:szCs w:val="21"/>
          <w:shd w:val="clear" w:color="auto" w:fill="FFFFFF"/>
        </w:rPr>
        <w:t>2</w:t>
      </w:r>
      <w:r w:rsidR="00FB23C8">
        <w:rPr>
          <w:rFonts w:ascii="Times New Roman" w:hAnsi="Times New Roman"/>
          <w:color w:val="000000"/>
          <w:szCs w:val="21"/>
          <w:shd w:val="clear" w:color="auto" w:fill="FFFFFF"/>
        </w:rPr>
        <w:t>012</w:t>
      </w:r>
      <w:r w:rsidR="00FB23C8">
        <w:rPr>
          <w:rFonts w:ascii="Times New Roman" w:hAnsi="Times New Roman" w:hint="eastAsia"/>
          <w:color w:val="000000"/>
          <w:szCs w:val="21"/>
          <w:shd w:val="clear" w:color="auto" w:fill="FFFFFF"/>
        </w:rPr>
        <w:t>-</w:t>
      </w:r>
      <w:r w:rsidR="00FB23C8">
        <w:rPr>
          <w:rFonts w:ascii="Times New Roman" w:hAnsi="Times New Roman"/>
          <w:color w:val="000000"/>
          <w:szCs w:val="21"/>
          <w:shd w:val="clear" w:color="auto" w:fill="FFFFFF"/>
        </w:rPr>
        <w:t>2018</w:t>
      </w:r>
      <w:r w:rsidR="00FB23C8">
        <w:rPr>
          <w:rFonts w:ascii="Times New Roman" w:hAnsi="Times New Roman" w:hint="eastAsia"/>
          <w:color w:val="000000"/>
          <w:szCs w:val="21"/>
          <w:shd w:val="clear" w:color="auto" w:fill="FFFFFF"/>
        </w:rPr>
        <w:t>）</w:t>
      </w:r>
      <w:r w:rsidRPr="00AD6C3C">
        <w:rPr>
          <w:rFonts w:ascii="Times New Roman" w:hAnsi="Times New Roman" w:hint="eastAsia"/>
          <w:color w:val="000000"/>
          <w:szCs w:val="21"/>
          <w:shd w:val="clear" w:color="auto" w:fill="FFFFFF"/>
        </w:rPr>
        <w:t>、中国地质学会洞穴委员会副主任、《</w:t>
      </w:r>
      <w:r w:rsidRPr="00AD6C3C">
        <w:rPr>
          <w:rFonts w:ascii="Times New Roman" w:hAnsi="Times New Roman"/>
          <w:color w:val="000000"/>
          <w:szCs w:val="21"/>
          <w:shd w:val="clear" w:color="auto" w:fill="FFFFFF"/>
        </w:rPr>
        <w:t>Tourism Geographies</w:t>
      </w:r>
      <w:r w:rsidRPr="00AD6C3C">
        <w:rPr>
          <w:rFonts w:ascii="Times New Roman" w:hAnsi="Times New Roman" w:hint="eastAsia"/>
          <w:color w:val="000000"/>
          <w:szCs w:val="21"/>
          <w:shd w:val="clear" w:color="auto" w:fill="FFFFFF"/>
        </w:rPr>
        <w:t>》编委、美国南卡罗莱纳大学国际旅游研究所名誉研究员</w:t>
      </w:r>
      <w:r>
        <w:rPr>
          <w:rFonts w:ascii="Times New Roman" w:hAnsi="Times New Roman" w:hint="eastAsia"/>
          <w:color w:val="000000"/>
          <w:szCs w:val="21"/>
          <w:shd w:val="clear" w:color="auto" w:fill="FFFFFF"/>
        </w:rPr>
        <w:t>、中国地质学会岩溶专业委员会委员</w:t>
      </w:r>
      <w:r w:rsidRPr="00AD6C3C">
        <w:rPr>
          <w:rFonts w:ascii="Times New Roman" w:hAnsi="Times New Roman" w:hint="eastAsia"/>
          <w:color w:val="000000"/>
          <w:szCs w:val="21"/>
          <w:shd w:val="clear" w:color="auto" w:fill="FFFFFF"/>
        </w:rPr>
        <w:t>。主要研究方向</w:t>
      </w:r>
      <w:r>
        <w:rPr>
          <w:rFonts w:ascii="Times New Roman" w:hAnsi="Times New Roman" w:hint="eastAsia"/>
          <w:color w:val="000000"/>
          <w:szCs w:val="21"/>
          <w:shd w:val="clear" w:color="auto" w:fill="FFFFFF"/>
        </w:rPr>
        <w:t>和学术兴趣</w:t>
      </w:r>
      <w:r w:rsidRPr="00AD6C3C">
        <w:rPr>
          <w:rFonts w:ascii="Times New Roman" w:hAnsi="Times New Roman" w:hint="eastAsia"/>
          <w:color w:val="000000"/>
          <w:szCs w:val="21"/>
          <w:shd w:val="clear" w:color="auto" w:fill="FFFFFF"/>
        </w:rPr>
        <w:t>为自然遗产</w:t>
      </w:r>
      <w:r>
        <w:rPr>
          <w:rFonts w:ascii="Times New Roman" w:hAnsi="Times New Roman" w:hint="eastAsia"/>
          <w:color w:val="000000"/>
          <w:szCs w:val="21"/>
          <w:shd w:val="clear" w:color="auto" w:fill="FFFFFF"/>
        </w:rPr>
        <w:t>研究</w:t>
      </w:r>
      <w:r w:rsidRPr="00AD6C3C">
        <w:rPr>
          <w:rFonts w:ascii="Times New Roman" w:hAnsi="Times New Roman" w:hint="eastAsia"/>
          <w:color w:val="000000"/>
          <w:szCs w:val="21"/>
          <w:shd w:val="clear" w:color="auto" w:fill="FFFFFF"/>
        </w:rPr>
        <w:t>与评价、旅游地理与旅游规划、信息地理和书法地理、喀斯特地貌、文化地理</w:t>
      </w:r>
      <w:r>
        <w:rPr>
          <w:rFonts w:ascii="Times New Roman" w:hAnsi="Times New Roman" w:hint="eastAsia"/>
          <w:color w:val="000000"/>
          <w:szCs w:val="21"/>
          <w:shd w:val="clear" w:color="auto" w:fill="FFFFFF"/>
        </w:rPr>
        <w:t>、书法文化和产业</w:t>
      </w:r>
      <w:r w:rsidRPr="00AD6C3C">
        <w:rPr>
          <w:rFonts w:ascii="Times New Roman" w:hAnsi="Times New Roman" w:hint="eastAsia"/>
          <w:color w:val="000000"/>
          <w:szCs w:val="21"/>
          <w:shd w:val="clear" w:color="auto" w:fill="FFFFFF"/>
        </w:rPr>
        <w:t>。在国内外核心刊物及出版物上发表论文</w:t>
      </w:r>
      <w:r w:rsidRPr="00AD6C3C">
        <w:rPr>
          <w:rFonts w:ascii="Times New Roman" w:hAnsi="Times New Roman"/>
          <w:color w:val="000000"/>
          <w:szCs w:val="21"/>
          <w:shd w:val="clear" w:color="auto" w:fill="FFFFFF"/>
        </w:rPr>
        <w:t>200</w:t>
      </w:r>
      <w:r w:rsidRPr="00AD6C3C">
        <w:rPr>
          <w:rFonts w:ascii="Times New Roman" w:hAnsi="Times New Roman" w:hint="eastAsia"/>
          <w:color w:val="000000"/>
          <w:szCs w:val="21"/>
          <w:shd w:val="clear" w:color="auto" w:fill="FFFFFF"/>
        </w:rPr>
        <w:t>多篇，学术论文</w:t>
      </w:r>
      <w:r w:rsidRPr="00AD6C3C">
        <w:rPr>
          <w:rFonts w:ascii="Times New Roman" w:hAnsi="Times New Roman"/>
          <w:color w:val="000000"/>
          <w:szCs w:val="21"/>
          <w:shd w:val="clear" w:color="auto" w:fill="FFFFFF"/>
        </w:rPr>
        <w:t>CNKI</w:t>
      </w:r>
      <w:r w:rsidRPr="00AD6C3C">
        <w:rPr>
          <w:rFonts w:ascii="Times New Roman" w:hAnsi="Times New Roman" w:hint="eastAsia"/>
          <w:color w:val="000000"/>
          <w:szCs w:val="21"/>
          <w:shd w:val="clear" w:color="auto" w:fill="FFFFFF"/>
        </w:rPr>
        <w:t>统计总被引次数</w:t>
      </w:r>
      <w:r w:rsidR="000C0561">
        <w:rPr>
          <w:rFonts w:ascii="Times New Roman" w:hAnsi="Times New Roman"/>
          <w:color w:val="000000"/>
          <w:szCs w:val="21"/>
          <w:shd w:val="clear" w:color="auto" w:fill="FFFFFF"/>
        </w:rPr>
        <w:t>10000</w:t>
      </w:r>
      <w:r w:rsidRPr="00AD6C3C">
        <w:rPr>
          <w:rFonts w:ascii="Times New Roman" w:hAnsi="Times New Roman" w:hint="eastAsia"/>
          <w:color w:val="000000"/>
          <w:szCs w:val="21"/>
          <w:shd w:val="clear" w:color="auto" w:fill="FFFFFF"/>
        </w:rPr>
        <w:t>多次（检索日期为</w:t>
      </w:r>
      <w:r w:rsidRPr="00AD6C3C">
        <w:rPr>
          <w:rFonts w:ascii="Times New Roman" w:hAnsi="Times New Roman"/>
          <w:color w:val="000000"/>
          <w:szCs w:val="21"/>
          <w:shd w:val="clear" w:color="auto" w:fill="FFFFFF"/>
        </w:rPr>
        <w:t>201</w:t>
      </w:r>
      <w:r w:rsidR="000C0561">
        <w:rPr>
          <w:rFonts w:ascii="Times New Roman" w:hAnsi="Times New Roman"/>
          <w:color w:val="000000"/>
          <w:szCs w:val="21"/>
          <w:shd w:val="clear" w:color="auto" w:fill="FFFFFF"/>
        </w:rPr>
        <w:t>8</w:t>
      </w:r>
      <w:r w:rsidRPr="00AD6C3C">
        <w:rPr>
          <w:rFonts w:ascii="Times New Roman" w:hAnsi="Times New Roman" w:hint="eastAsia"/>
          <w:color w:val="000000"/>
          <w:szCs w:val="21"/>
          <w:shd w:val="clear" w:color="auto" w:fill="FFFFFF"/>
        </w:rPr>
        <w:t>年</w:t>
      </w:r>
      <w:r w:rsidR="000C0561">
        <w:rPr>
          <w:rFonts w:ascii="Times New Roman" w:hAnsi="Times New Roman" w:hint="eastAsia"/>
          <w:color w:val="000000"/>
          <w:szCs w:val="21"/>
          <w:shd w:val="clear" w:color="auto" w:fill="FFFFFF"/>
        </w:rPr>
        <w:t>，</w:t>
      </w:r>
      <w:r w:rsidR="000C0561">
        <w:rPr>
          <w:rFonts w:ascii="Times New Roman" w:hAnsi="Times New Roman" w:hint="eastAsia"/>
          <w:color w:val="000000"/>
          <w:szCs w:val="21"/>
          <w:shd w:val="clear" w:color="auto" w:fill="FFFFFF"/>
        </w:rPr>
        <w:t>H</w:t>
      </w:r>
      <w:r w:rsidR="000C0561">
        <w:rPr>
          <w:rFonts w:ascii="Times New Roman" w:hAnsi="Times New Roman"/>
          <w:color w:val="000000"/>
          <w:szCs w:val="21"/>
          <w:shd w:val="clear" w:color="auto" w:fill="FFFFFF"/>
        </w:rPr>
        <w:t>-index</w:t>
      </w:r>
      <w:r w:rsidR="000C0561">
        <w:rPr>
          <w:rFonts w:ascii="Times New Roman" w:hAnsi="Times New Roman" w:hint="eastAsia"/>
          <w:color w:val="000000"/>
          <w:szCs w:val="21"/>
          <w:shd w:val="clear" w:color="auto" w:fill="FFFFFF"/>
        </w:rPr>
        <w:t>为</w:t>
      </w:r>
      <w:r w:rsidR="000C0561">
        <w:rPr>
          <w:rFonts w:ascii="Times New Roman" w:hAnsi="Times New Roman"/>
          <w:color w:val="000000"/>
          <w:szCs w:val="21"/>
          <w:shd w:val="clear" w:color="auto" w:fill="FFFFFF"/>
        </w:rPr>
        <w:t>CNKI</w:t>
      </w:r>
      <w:r w:rsidR="000C0561">
        <w:rPr>
          <w:rFonts w:ascii="Times New Roman" w:hAnsi="Times New Roman" w:hint="eastAsia"/>
          <w:color w:val="000000"/>
          <w:szCs w:val="21"/>
          <w:shd w:val="clear" w:color="auto" w:fill="FFFFFF"/>
        </w:rPr>
        <w:t>全国所有学者排名</w:t>
      </w:r>
      <w:r w:rsidR="000C0561">
        <w:rPr>
          <w:rFonts w:ascii="Times New Roman" w:hAnsi="Times New Roman" w:hint="eastAsia"/>
          <w:color w:val="000000"/>
          <w:szCs w:val="21"/>
          <w:shd w:val="clear" w:color="auto" w:fill="FFFFFF"/>
        </w:rPr>
        <w:t>1</w:t>
      </w:r>
      <w:r w:rsidR="000C0561">
        <w:rPr>
          <w:rFonts w:ascii="Times New Roman" w:hAnsi="Times New Roman"/>
          <w:color w:val="000000"/>
          <w:szCs w:val="21"/>
          <w:shd w:val="clear" w:color="auto" w:fill="FFFFFF"/>
        </w:rPr>
        <w:t>46</w:t>
      </w:r>
      <w:r w:rsidRPr="00AD6C3C">
        <w:rPr>
          <w:rFonts w:ascii="Times New Roman" w:hAnsi="Times New Roman" w:hint="eastAsia"/>
          <w:color w:val="000000"/>
          <w:szCs w:val="21"/>
          <w:shd w:val="clear" w:color="auto" w:fill="FFFFFF"/>
        </w:rPr>
        <w:t>）。主持国家自然基金项目</w:t>
      </w:r>
      <w:r w:rsidR="00FB23C8">
        <w:rPr>
          <w:rFonts w:ascii="Times New Roman" w:hAnsi="Times New Roman"/>
          <w:color w:val="000000"/>
          <w:szCs w:val="21"/>
          <w:shd w:val="clear" w:color="auto" w:fill="FFFFFF"/>
        </w:rPr>
        <w:t>7</w:t>
      </w:r>
      <w:r w:rsidRPr="00AD6C3C">
        <w:rPr>
          <w:rFonts w:ascii="Times New Roman" w:hAnsi="Times New Roman" w:hint="eastAsia"/>
          <w:color w:val="000000"/>
          <w:szCs w:val="21"/>
          <w:shd w:val="clear" w:color="auto" w:fill="FFFFFF"/>
        </w:rPr>
        <w:t>项、教育部、住建部、国家旅游局</w:t>
      </w:r>
      <w:r w:rsidR="000C0561">
        <w:rPr>
          <w:rFonts w:ascii="Times New Roman" w:hAnsi="Times New Roman" w:hint="eastAsia"/>
          <w:color w:val="000000"/>
          <w:szCs w:val="21"/>
          <w:shd w:val="clear" w:color="auto" w:fill="FFFFFF"/>
        </w:rPr>
        <w:t>、科技部支撑项目子项目</w:t>
      </w:r>
      <w:r w:rsidRPr="00AD6C3C">
        <w:rPr>
          <w:rFonts w:ascii="Times New Roman" w:hAnsi="Times New Roman" w:hint="eastAsia"/>
          <w:color w:val="000000"/>
          <w:szCs w:val="21"/>
          <w:shd w:val="clear" w:color="auto" w:fill="FFFFFF"/>
        </w:rPr>
        <w:t>等部级科研项目</w:t>
      </w:r>
      <w:r w:rsidRPr="00AD6C3C">
        <w:rPr>
          <w:rFonts w:ascii="Times New Roman" w:hAnsi="Times New Roman"/>
          <w:color w:val="000000"/>
          <w:szCs w:val="21"/>
          <w:shd w:val="clear" w:color="auto" w:fill="FFFFFF"/>
        </w:rPr>
        <w:t>5</w:t>
      </w:r>
      <w:r w:rsidRPr="00AD6C3C">
        <w:rPr>
          <w:rFonts w:ascii="Times New Roman" w:hAnsi="Times New Roman" w:hint="eastAsia"/>
          <w:color w:val="000000"/>
          <w:szCs w:val="21"/>
          <w:shd w:val="clear" w:color="auto" w:fill="FFFFFF"/>
        </w:rPr>
        <w:t>项、国际合作项目</w:t>
      </w:r>
      <w:r w:rsidRPr="00AD6C3C">
        <w:rPr>
          <w:rFonts w:ascii="Times New Roman" w:hAnsi="Times New Roman"/>
          <w:color w:val="000000"/>
          <w:szCs w:val="21"/>
          <w:shd w:val="clear" w:color="auto" w:fill="FFFFFF"/>
        </w:rPr>
        <w:t>2</w:t>
      </w:r>
      <w:r w:rsidRPr="00AD6C3C">
        <w:rPr>
          <w:rFonts w:ascii="Times New Roman" w:hAnsi="Times New Roman" w:hint="eastAsia"/>
          <w:color w:val="000000"/>
          <w:szCs w:val="21"/>
          <w:shd w:val="clear" w:color="auto" w:fill="FFFFFF"/>
        </w:rPr>
        <w:t>项。主持江苏省古运河旅游发展总体规划、江苏沿海地区旅游发展规划、江苏省</w:t>
      </w:r>
      <w:r w:rsidRPr="00AD6C3C">
        <w:rPr>
          <w:rFonts w:ascii="Times New Roman" w:hAnsi="Times New Roman"/>
          <w:color w:val="000000"/>
          <w:szCs w:val="21"/>
          <w:shd w:val="clear" w:color="auto" w:fill="FFFFFF"/>
        </w:rPr>
        <w:t>“</w:t>
      </w:r>
      <w:r w:rsidRPr="00AD6C3C">
        <w:rPr>
          <w:rFonts w:ascii="Times New Roman" w:hAnsi="Times New Roman" w:hint="eastAsia"/>
          <w:color w:val="000000"/>
          <w:szCs w:val="21"/>
          <w:shd w:val="clear" w:color="auto" w:fill="FFFFFF"/>
        </w:rPr>
        <w:t>十二五</w:t>
      </w:r>
      <w:r w:rsidRPr="00AD6C3C">
        <w:rPr>
          <w:rFonts w:ascii="Times New Roman" w:hAnsi="Times New Roman"/>
          <w:color w:val="000000"/>
          <w:szCs w:val="21"/>
          <w:shd w:val="clear" w:color="auto" w:fill="FFFFFF"/>
        </w:rPr>
        <w:t>”</w:t>
      </w:r>
      <w:r w:rsidR="000C0561">
        <w:rPr>
          <w:rFonts w:ascii="Times New Roman" w:hAnsi="Times New Roman" w:hint="eastAsia"/>
          <w:color w:val="000000"/>
          <w:szCs w:val="21"/>
          <w:shd w:val="clear" w:color="auto" w:fill="FFFFFF"/>
        </w:rPr>
        <w:t>、</w:t>
      </w:r>
      <w:proofErr w:type="gramStart"/>
      <w:r w:rsidR="000C0561">
        <w:rPr>
          <w:rFonts w:ascii="Times New Roman" w:hAnsi="Times New Roman" w:hint="eastAsia"/>
          <w:color w:val="000000"/>
          <w:szCs w:val="21"/>
          <w:shd w:val="clear" w:color="auto" w:fill="FFFFFF"/>
        </w:rPr>
        <w:t>“</w:t>
      </w:r>
      <w:proofErr w:type="gramEnd"/>
      <w:r w:rsidR="000C0561">
        <w:rPr>
          <w:rFonts w:ascii="Times New Roman" w:hAnsi="Times New Roman" w:hint="eastAsia"/>
          <w:color w:val="000000"/>
          <w:szCs w:val="21"/>
          <w:shd w:val="clear" w:color="auto" w:fill="FFFFFF"/>
        </w:rPr>
        <w:t>十三五“”</w:t>
      </w:r>
      <w:r w:rsidRPr="00AD6C3C">
        <w:rPr>
          <w:rFonts w:ascii="Times New Roman" w:hAnsi="Times New Roman" w:hint="eastAsia"/>
          <w:color w:val="000000"/>
          <w:szCs w:val="21"/>
          <w:shd w:val="clear" w:color="auto" w:fill="FFFFFF"/>
        </w:rPr>
        <w:t>旅游发展规划、苏州市</w:t>
      </w:r>
      <w:proofErr w:type="gramStart"/>
      <w:r w:rsidRPr="00AD6C3C">
        <w:rPr>
          <w:rFonts w:ascii="Times New Roman" w:hAnsi="Times New Roman" w:hint="eastAsia"/>
          <w:color w:val="000000"/>
          <w:szCs w:val="21"/>
          <w:shd w:val="clear" w:color="auto" w:fill="FFFFFF"/>
        </w:rPr>
        <w:t>十二五</w:t>
      </w:r>
      <w:proofErr w:type="gramEnd"/>
      <w:r w:rsidRPr="00AD6C3C">
        <w:rPr>
          <w:rFonts w:ascii="Times New Roman" w:hAnsi="Times New Roman" w:hint="eastAsia"/>
          <w:color w:val="000000"/>
          <w:szCs w:val="21"/>
          <w:shd w:val="clear" w:color="auto" w:fill="FFFFFF"/>
        </w:rPr>
        <w:t>旅游发展规划、</w:t>
      </w:r>
      <w:r w:rsidRPr="00AD6C3C">
        <w:rPr>
          <w:rFonts w:ascii="Times New Roman" w:hAnsi="Times New Roman"/>
          <w:color w:val="000000"/>
          <w:szCs w:val="21"/>
        </w:rPr>
        <w:t>UNESCO</w:t>
      </w:r>
      <w:r w:rsidRPr="00AD6C3C">
        <w:rPr>
          <w:rFonts w:ascii="Times New Roman" w:hAnsi="Times New Roman" w:hint="eastAsia"/>
          <w:color w:val="000000"/>
          <w:szCs w:val="21"/>
        </w:rPr>
        <w:t>（联合国教科文组织）</w:t>
      </w:r>
      <w:r w:rsidRPr="00AD6C3C">
        <w:rPr>
          <w:rFonts w:ascii="Times New Roman" w:hAnsi="Times New Roman"/>
          <w:color w:val="000000"/>
          <w:szCs w:val="21"/>
        </w:rPr>
        <w:t>VISITOR MANAGEMENT PLAN FOR WORLD HERITAGE SITE OF SANQIANGSHAN</w:t>
      </w:r>
      <w:r w:rsidRPr="00AD6C3C">
        <w:rPr>
          <w:rFonts w:ascii="Times New Roman" w:hAnsi="Times New Roman" w:hint="eastAsia"/>
          <w:color w:val="000000"/>
          <w:szCs w:val="21"/>
        </w:rPr>
        <w:t>等多项</w:t>
      </w:r>
      <w:r w:rsidRPr="00AD6C3C">
        <w:rPr>
          <w:rFonts w:ascii="Times New Roman" w:hAnsi="Times New Roman" w:hint="eastAsia"/>
          <w:color w:val="000000"/>
          <w:szCs w:val="21"/>
          <w:shd w:val="clear" w:color="auto" w:fill="FFFFFF"/>
        </w:rPr>
        <w:t>。</w:t>
      </w:r>
    </w:p>
    <w:p w:rsidR="00DA0ECE" w:rsidRPr="008A3125" w:rsidRDefault="000D1E80" w:rsidP="0088005A">
      <w:pPr>
        <w:outlineLvl w:val="0"/>
        <w:rPr>
          <w:sz w:val="32"/>
          <w:szCs w:val="32"/>
        </w:rPr>
      </w:pPr>
      <w:r>
        <w:rPr>
          <w:rFonts w:hint="eastAsia"/>
          <w:sz w:val="32"/>
          <w:szCs w:val="32"/>
        </w:rPr>
        <w:t>二</w:t>
      </w:r>
      <w:r w:rsidR="00DA0ECE">
        <w:rPr>
          <w:rFonts w:hint="eastAsia"/>
          <w:sz w:val="32"/>
          <w:szCs w:val="32"/>
        </w:rPr>
        <w:t>、</w:t>
      </w:r>
      <w:r w:rsidR="00DA0ECE" w:rsidRPr="008A3125">
        <w:rPr>
          <w:rFonts w:hint="eastAsia"/>
          <w:sz w:val="32"/>
          <w:szCs w:val="32"/>
        </w:rPr>
        <w:t>学术简介</w:t>
      </w:r>
    </w:p>
    <w:p w:rsidR="00DA0ECE" w:rsidRPr="00AD6C3C" w:rsidRDefault="00DA0ECE" w:rsidP="00FE3A2E">
      <w:pPr>
        <w:ind w:firstLineChars="200" w:firstLine="420"/>
        <w:jc w:val="left"/>
        <w:rPr>
          <w:rFonts w:ascii="Times New Roman" w:hAnsi="Times New Roman"/>
          <w:color w:val="000000"/>
          <w:szCs w:val="21"/>
        </w:rPr>
      </w:pPr>
      <w:r w:rsidRPr="00AD6C3C">
        <w:rPr>
          <w:rFonts w:ascii="Times New Roman" w:hAnsi="Times New Roman" w:hint="eastAsia"/>
          <w:color w:val="000000"/>
          <w:szCs w:val="21"/>
        </w:rPr>
        <w:t>主要从事旅游地理与旅游规划、信息地理与书法地理学、喀斯特地貌研究，具体体现在以下几个方面：</w:t>
      </w:r>
    </w:p>
    <w:p w:rsidR="00DA0ECE" w:rsidRPr="00AD6C3C" w:rsidRDefault="00DA0ECE" w:rsidP="00FE3A2E">
      <w:pPr>
        <w:ind w:firstLineChars="200" w:firstLine="422"/>
        <w:jc w:val="left"/>
        <w:rPr>
          <w:rFonts w:ascii="Times New Roman" w:hAnsi="Times New Roman"/>
          <w:color w:val="000000"/>
          <w:szCs w:val="21"/>
        </w:rPr>
      </w:pPr>
      <w:r w:rsidRPr="00AD6C3C">
        <w:rPr>
          <w:rFonts w:ascii="Times New Roman" w:hAnsi="Times New Roman" w:hint="eastAsia"/>
          <w:b/>
          <w:color w:val="000000"/>
          <w:szCs w:val="21"/>
        </w:rPr>
        <w:t>（</w:t>
      </w:r>
      <w:r w:rsidRPr="00AD6C3C">
        <w:rPr>
          <w:rFonts w:ascii="Times New Roman" w:hAnsi="Times New Roman"/>
          <w:b/>
          <w:color w:val="000000"/>
          <w:szCs w:val="21"/>
        </w:rPr>
        <w:t>1</w:t>
      </w:r>
      <w:r w:rsidRPr="00AD6C3C">
        <w:rPr>
          <w:rFonts w:ascii="Times New Roman" w:hAnsi="Times New Roman" w:hint="eastAsia"/>
          <w:b/>
          <w:color w:val="000000"/>
          <w:szCs w:val="21"/>
        </w:rPr>
        <w:t>）旅游地理与旅游规划研究</w:t>
      </w:r>
      <w:r w:rsidRPr="00AD6C3C">
        <w:rPr>
          <w:rFonts w:ascii="Times New Roman" w:hAnsi="Times New Roman" w:hint="eastAsia"/>
          <w:color w:val="000000"/>
          <w:szCs w:val="21"/>
        </w:rPr>
        <w:t>：主要从事旅游流模式、旅游空间结构、旅游与信息技术、地方感、旅游影响研究，中英文发表旅游方面论文</w:t>
      </w:r>
      <w:r w:rsidRPr="00AD6C3C">
        <w:rPr>
          <w:rFonts w:ascii="Times New Roman" w:hAnsi="Times New Roman"/>
          <w:color w:val="000000"/>
          <w:szCs w:val="21"/>
        </w:rPr>
        <w:t>200</w:t>
      </w:r>
      <w:r w:rsidRPr="00AD6C3C">
        <w:rPr>
          <w:rFonts w:ascii="Times New Roman" w:hAnsi="Times New Roman" w:hint="eastAsia"/>
          <w:color w:val="000000"/>
          <w:szCs w:val="21"/>
        </w:rPr>
        <w:t>多篇，学术论文</w:t>
      </w:r>
      <w:r w:rsidRPr="00AD6C3C">
        <w:rPr>
          <w:rFonts w:ascii="Times New Roman" w:hAnsi="Times New Roman"/>
          <w:color w:val="000000"/>
          <w:szCs w:val="21"/>
        </w:rPr>
        <w:t>CNKI</w:t>
      </w:r>
      <w:r w:rsidRPr="00AD6C3C">
        <w:rPr>
          <w:rFonts w:ascii="Times New Roman" w:hAnsi="Times New Roman" w:hint="eastAsia"/>
          <w:color w:val="000000"/>
          <w:szCs w:val="21"/>
        </w:rPr>
        <w:t>统计总被引次数</w:t>
      </w:r>
      <w:r>
        <w:rPr>
          <w:rFonts w:ascii="Times New Roman" w:hAnsi="Times New Roman"/>
          <w:color w:val="000000"/>
          <w:szCs w:val="21"/>
        </w:rPr>
        <w:t>60</w:t>
      </w:r>
      <w:r w:rsidRPr="00AD6C3C">
        <w:rPr>
          <w:rFonts w:ascii="Times New Roman" w:hAnsi="Times New Roman"/>
          <w:color w:val="000000"/>
          <w:szCs w:val="21"/>
        </w:rPr>
        <w:t>00</w:t>
      </w:r>
      <w:r w:rsidRPr="00AD6C3C">
        <w:rPr>
          <w:rFonts w:ascii="Times New Roman" w:hAnsi="Times New Roman" w:hint="eastAsia"/>
          <w:color w:val="000000"/>
          <w:szCs w:val="21"/>
        </w:rPr>
        <w:t>多次，单篇论文被引用次数最多超过</w:t>
      </w:r>
      <w:r w:rsidRPr="00AD6C3C">
        <w:rPr>
          <w:rFonts w:ascii="Times New Roman" w:hAnsi="Times New Roman"/>
          <w:color w:val="000000"/>
          <w:szCs w:val="21"/>
        </w:rPr>
        <w:t>300</w:t>
      </w:r>
      <w:r w:rsidRPr="00AD6C3C">
        <w:rPr>
          <w:rFonts w:ascii="Times New Roman" w:hAnsi="Times New Roman" w:hint="eastAsia"/>
          <w:color w:val="000000"/>
          <w:szCs w:val="21"/>
        </w:rPr>
        <w:t>次，被引次数超过</w:t>
      </w:r>
      <w:r w:rsidRPr="00AD6C3C">
        <w:rPr>
          <w:rFonts w:ascii="Times New Roman" w:hAnsi="Times New Roman"/>
          <w:color w:val="000000"/>
          <w:szCs w:val="21"/>
        </w:rPr>
        <w:t>100</w:t>
      </w:r>
      <w:r w:rsidRPr="00AD6C3C">
        <w:rPr>
          <w:rFonts w:ascii="Times New Roman" w:hAnsi="Times New Roman" w:hint="eastAsia"/>
          <w:color w:val="000000"/>
          <w:szCs w:val="21"/>
        </w:rPr>
        <w:t>次的论文达</w:t>
      </w:r>
      <w:r w:rsidRPr="00AD6C3C">
        <w:rPr>
          <w:rFonts w:ascii="Times New Roman" w:hAnsi="Times New Roman"/>
          <w:color w:val="000000"/>
          <w:szCs w:val="21"/>
        </w:rPr>
        <w:t>15</w:t>
      </w:r>
      <w:r w:rsidRPr="00AD6C3C">
        <w:rPr>
          <w:rFonts w:ascii="Times New Roman" w:hAnsi="Times New Roman" w:hint="eastAsia"/>
          <w:color w:val="000000"/>
          <w:szCs w:val="21"/>
        </w:rPr>
        <w:t>篇</w:t>
      </w:r>
      <w:r w:rsidRPr="00AD6C3C">
        <w:rPr>
          <w:rFonts w:ascii="Times New Roman" w:hAnsi="Times New Roman" w:hint="eastAsia"/>
          <w:color w:val="000000"/>
          <w:szCs w:val="21"/>
          <w:shd w:val="clear" w:color="auto" w:fill="FFFFFF"/>
        </w:rPr>
        <w:t>（检索日期为</w:t>
      </w:r>
      <w:smartTag w:uri="urn:schemas-microsoft-com:office:smarttags" w:element="chsdate">
        <w:smartTagPr>
          <w:attr w:name="IsROCDate" w:val="False"/>
          <w:attr w:name="IsLunarDate" w:val="False"/>
          <w:attr w:name="Day" w:val="30"/>
          <w:attr w:name="Month" w:val="4"/>
          <w:attr w:name="Year" w:val="2014"/>
        </w:smartTagPr>
        <w:r w:rsidRPr="00AD6C3C">
          <w:rPr>
            <w:rFonts w:ascii="Times New Roman" w:hAnsi="Times New Roman"/>
            <w:color w:val="000000"/>
            <w:szCs w:val="21"/>
            <w:shd w:val="clear" w:color="auto" w:fill="FFFFFF"/>
          </w:rPr>
          <w:t>2014</w:t>
        </w:r>
        <w:r w:rsidRPr="00AD6C3C">
          <w:rPr>
            <w:rFonts w:ascii="Times New Roman" w:hAnsi="Times New Roman" w:hint="eastAsia"/>
            <w:color w:val="000000"/>
            <w:szCs w:val="21"/>
            <w:shd w:val="clear" w:color="auto" w:fill="FFFFFF"/>
          </w:rPr>
          <w:t>年</w:t>
        </w:r>
        <w:r w:rsidRPr="00AD6C3C">
          <w:rPr>
            <w:rFonts w:ascii="Times New Roman" w:hAnsi="Times New Roman"/>
            <w:color w:val="000000"/>
            <w:szCs w:val="21"/>
            <w:shd w:val="clear" w:color="auto" w:fill="FFFFFF"/>
          </w:rPr>
          <w:t>4</w:t>
        </w:r>
        <w:r w:rsidRPr="00AD6C3C">
          <w:rPr>
            <w:rFonts w:ascii="Times New Roman" w:hAnsi="Times New Roman" w:hint="eastAsia"/>
            <w:color w:val="000000"/>
            <w:szCs w:val="21"/>
            <w:shd w:val="clear" w:color="auto" w:fill="FFFFFF"/>
          </w:rPr>
          <w:t>月</w:t>
        </w:r>
        <w:r w:rsidRPr="00AD6C3C">
          <w:rPr>
            <w:rFonts w:ascii="Times New Roman" w:hAnsi="Times New Roman"/>
            <w:color w:val="000000"/>
            <w:szCs w:val="21"/>
            <w:shd w:val="clear" w:color="auto" w:fill="FFFFFF"/>
          </w:rPr>
          <w:t>30</w:t>
        </w:r>
        <w:r w:rsidRPr="00AD6C3C">
          <w:rPr>
            <w:rFonts w:ascii="Times New Roman" w:hAnsi="Times New Roman" w:hint="eastAsia"/>
            <w:color w:val="000000"/>
            <w:szCs w:val="21"/>
            <w:shd w:val="clear" w:color="auto" w:fill="FFFFFF"/>
          </w:rPr>
          <w:t>日</w:t>
        </w:r>
      </w:smartTag>
      <w:r w:rsidRPr="00AD6C3C">
        <w:rPr>
          <w:rFonts w:ascii="Times New Roman" w:hAnsi="Times New Roman" w:hint="eastAsia"/>
          <w:color w:val="000000"/>
          <w:szCs w:val="21"/>
          <w:shd w:val="clear" w:color="auto" w:fill="FFFFFF"/>
        </w:rPr>
        <w:t>）</w:t>
      </w:r>
      <w:r w:rsidRPr="00AD6C3C">
        <w:rPr>
          <w:rFonts w:ascii="Times New Roman" w:hAnsi="Times New Roman" w:hint="eastAsia"/>
          <w:color w:val="000000"/>
          <w:szCs w:val="21"/>
        </w:rPr>
        <w:t>。有关旅游研究成果获得亚太旅游协会等国际会议论文奖</w:t>
      </w:r>
      <w:r w:rsidRPr="00AD6C3C">
        <w:rPr>
          <w:rFonts w:ascii="Times New Roman" w:hAnsi="Times New Roman"/>
          <w:color w:val="000000"/>
          <w:szCs w:val="21"/>
        </w:rPr>
        <w:t>2</w:t>
      </w:r>
      <w:r w:rsidRPr="00AD6C3C">
        <w:rPr>
          <w:rFonts w:ascii="Times New Roman" w:hAnsi="Times New Roman" w:hint="eastAsia"/>
          <w:color w:val="000000"/>
          <w:szCs w:val="21"/>
        </w:rPr>
        <w:t>项、全国学会级论文奖</w:t>
      </w:r>
      <w:r w:rsidRPr="00AD6C3C">
        <w:rPr>
          <w:rFonts w:ascii="Times New Roman" w:hAnsi="Times New Roman"/>
          <w:color w:val="000000"/>
          <w:szCs w:val="21"/>
        </w:rPr>
        <w:t>3</w:t>
      </w:r>
      <w:r w:rsidRPr="00AD6C3C">
        <w:rPr>
          <w:rFonts w:ascii="Times New Roman" w:hAnsi="Times New Roman" w:hint="eastAsia"/>
          <w:color w:val="000000"/>
          <w:szCs w:val="21"/>
        </w:rPr>
        <w:t>项；对旅游规划本体理论、历史文化村镇评价与规划、遗产旅游规划模式等的研究，获得建设部中国城市规划学会优秀规划成果二等奖</w:t>
      </w:r>
      <w:r w:rsidRPr="00AD6C3C">
        <w:rPr>
          <w:rFonts w:ascii="Times New Roman" w:hAnsi="Times New Roman"/>
          <w:color w:val="000000"/>
          <w:szCs w:val="21"/>
        </w:rPr>
        <w:t>1</w:t>
      </w:r>
      <w:r w:rsidRPr="00AD6C3C">
        <w:rPr>
          <w:rFonts w:ascii="Times New Roman" w:hAnsi="Times New Roman" w:hint="eastAsia"/>
          <w:color w:val="000000"/>
          <w:szCs w:val="21"/>
        </w:rPr>
        <w:t>项、江苏省科技进步奖三等奖</w:t>
      </w:r>
      <w:r w:rsidRPr="00AD6C3C">
        <w:rPr>
          <w:rFonts w:ascii="Times New Roman" w:hAnsi="Times New Roman"/>
          <w:color w:val="000000"/>
          <w:szCs w:val="21"/>
        </w:rPr>
        <w:t>1</w:t>
      </w:r>
      <w:r w:rsidRPr="00AD6C3C">
        <w:rPr>
          <w:rFonts w:ascii="Times New Roman" w:hAnsi="Times New Roman" w:hint="eastAsia"/>
          <w:color w:val="000000"/>
          <w:szCs w:val="21"/>
        </w:rPr>
        <w:t>项、江苏省科学协会优秀软科学奖</w:t>
      </w:r>
      <w:r w:rsidRPr="00AD6C3C">
        <w:rPr>
          <w:rFonts w:ascii="Times New Roman" w:hAnsi="Times New Roman"/>
          <w:color w:val="000000"/>
          <w:szCs w:val="21"/>
        </w:rPr>
        <w:t>3</w:t>
      </w:r>
      <w:r w:rsidRPr="00AD6C3C">
        <w:rPr>
          <w:rFonts w:ascii="Times New Roman" w:hAnsi="Times New Roman" w:hint="eastAsia"/>
          <w:color w:val="000000"/>
          <w:szCs w:val="21"/>
        </w:rPr>
        <w:t>等奖</w:t>
      </w:r>
      <w:r w:rsidRPr="00AD6C3C">
        <w:rPr>
          <w:rFonts w:ascii="Times New Roman" w:hAnsi="Times New Roman"/>
          <w:color w:val="000000"/>
          <w:szCs w:val="21"/>
        </w:rPr>
        <w:t>1</w:t>
      </w:r>
      <w:r w:rsidRPr="00AD6C3C">
        <w:rPr>
          <w:rFonts w:ascii="Times New Roman" w:hAnsi="Times New Roman" w:hint="eastAsia"/>
          <w:color w:val="000000"/>
          <w:szCs w:val="21"/>
        </w:rPr>
        <w:t>项，省部级鉴定</w:t>
      </w:r>
      <w:r w:rsidRPr="00AD6C3C">
        <w:rPr>
          <w:rFonts w:ascii="Times New Roman" w:hAnsi="Times New Roman"/>
          <w:color w:val="000000"/>
          <w:szCs w:val="21"/>
        </w:rPr>
        <w:t>3</w:t>
      </w:r>
      <w:r w:rsidRPr="00AD6C3C">
        <w:rPr>
          <w:rFonts w:ascii="Times New Roman" w:hAnsi="Times New Roman" w:hint="eastAsia"/>
          <w:color w:val="000000"/>
          <w:szCs w:val="21"/>
        </w:rPr>
        <w:t>项。主持完成江苏省古运河旅游发展规划、江苏省沿海旅游发展规划、苏州市旅游业十二五规划、江苏省旅游业发展十二五规划等。</w:t>
      </w:r>
    </w:p>
    <w:p w:rsidR="00DA0ECE" w:rsidRPr="00AD6C3C" w:rsidRDefault="00DA0ECE" w:rsidP="00FE3A2E">
      <w:pPr>
        <w:ind w:firstLineChars="200" w:firstLine="420"/>
        <w:rPr>
          <w:rFonts w:ascii="Times New Roman" w:hAnsi="Times New Roman"/>
          <w:color w:val="000000"/>
          <w:szCs w:val="21"/>
        </w:rPr>
      </w:pPr>
      <w:r w:rsidRPr="00AD6C3C">
        <w:rPr>
          <w:rFonts w:ascii="Times New Roman" w:hAnsi="Times New Roman" w:hint="eastAsia"/>
          <w:color w:val="000000"/>
          <w:szCs w:val="21"/>
        </w:rPr>
        <w:t>（</w:t>
      </w:r>
      <w:r w:rsidRPr="00AD6C3C">
        <w:rPr>
          <w:rFonts w:ascii="Times New Roman" w:hAnsi="Times New Roman"/>
          <w:color w:val="000000"/>
          <w:szCs w:val="21"/>
        </w:rPr>
        <w:t>2</w:t>
      </w:r>
      <w:r w:rsidRPr="00AD6C3C">
        <w:rPr>
          <w:rFonts w:ascii="Times New Roman" w:hAnsi="Times New Roman" w:hint="eastAsia"/>
          <w:color w:val="000000"/>
          <w:szCs w:val="21"/>
        </w:rPr>
        <w:t>）</w:t>
      </w:r>
      <w:r w:rsidRPr="00AD6C3C">
        <w:rPr>
          <w:rFonts w:ascii="Times New Roman" w:hAnsi="Times New Roman" w:hint="eastAsia"/>
          <w:b/>
          <w:color w:val="000000"/>
          <w:szCs w:val="21"/>
        </w:rPr>
        <w:t>自然地理学和地貌遗产研究</w:t>
      </w:r>
      <w:r w:rsidRPr="00AD6C3C">
        <w:rPr>
          <w:rFonts w:ascii="Times New Roman" w:hAnsi="Times New Roman" w:hint="eastAsia"/>
          <w:color w:val="000000"/>
          <w:szCs w:val="21"/>
        </w:rPr>
        <w:t>：长期从事生物喀斯特作用机制及其在文物保护和风化防治研究，在国内</w:t>
      </w:r>
      <w:r w:rsidRPr="00AD6C3C">
        <w:rPr>
          <w:rFonts w:ascii="Times New Roman" w:hAnsi="Times New Roman"/>
          <w:color w:val="000000"/>
          <w:szCs w:val="21"/>
        </w:rPr>
        <w:t>1991</w:t>
      </w:r>
      <w:r w:rsidRPr="00AD6C3C">
        <w:rPr>
          <w:rFonts w:ascii="Times New Roman" w:hAnsi="Times New Roman" w:hint="eastAsia"/>
          <w:color w:val="000000"/>
          <w:szCs w:val="21"/>
        </w:rPr>
        <w:t>年起发表生物喀斯特微形态学及文物风化研究成果，以九寨沟、云南石林、永安石林等为例，分别对藻类、地衣的生物喀斯特侵蚀作用、藻类喀斯特沉积作用等进行了系统研究，揭示了地衣子实体对石灰岩基质的钻孔作用</w:t>
      </w:r>
      <w:r>
        <w:rPr>
          <w:rFonts w:ascii="Times New Roman" w:hAnsi="Times New Roman" w:hint="eastAsia"/>
          <w:color w:val="000000"/>
          <w:szCs w:val="21"/>
        </w:rPr>
        <w:t>生理生态</w:t>
      </w:r>
      <w:r w:rsidRPr="00AD6C3C">
        <w:rPr>
          <w:rFonts w:ascii="Times New Roman" w:hAnsi="Times New Roman" w:hint="eastAsia"/>
          <w:color w:val="000000"/>
          <w:szCs w:val="21"/>
        </w:rPr>
        <w:t>机制</w:t>
      </w:r>
      <w:r>
        <w:rPr>
          <w:rFonts w:ascii="Times New Roman" w:hAnsi="Times New Roman" w:hint="eastAsia"/>
          <w:color w:val="000000"/>
          <w:szCs w:val="21"/>
        </w:rPr>
        <w:t>及微形态模式</w:t>
      </w:r>
      <w:r w:rsidRPr="00AD6C3C">
        <w:rPr>
          <w:rFonts w:ascii="Times New Roman" w:hAnsi="Times New Roman" w:hint="eastAsia"/>
          <w:color w:val="000000"/>
          <w:szCs w:val="21"/>
        </w:rPr>
        <w:t>；系统提出了地貌遗产价值的多种评价体系及其保护规划措施；对南京六朝石刻明代石</w:t>
      </w:r>
      <w:r>
        <w:rPr>
          <w:rFonts w:ascii="Times New Roman" w:hAnsi="Times New Roman" w:hint="eastAsia"/>
          <w:color w:val="000000"/>
          <w:szCs w:val="21"/>
        </w:rPr>
        <w:t>刻、乐山大佛、洛阳龙门等石刻文物保护及其风化监测进行了探索，揭示了南京地区石灰岩文物石刻的生物风化机制及规律；揭示和确认了青藏高原特有风蚀喀斯特微形态类型特征及其</w:t>
      </w:r>
      <w:r w:rsidRPr="00AD6C3C">
        <w:rPr>
          <w:rFonts w:ascii="Times New Roman" w:hAnsi="Times New Roman" w:hint="eastAsia"/>
          <w:color w:val="000000"/>
          <w:szCs w:val="21"/>
        </w:rPr>
        <w:t>发育机制，研究成果获得教育部科技进步二等奖（第三完成人），九寨沟自然景观成因研究被收入《九寨沟志》并被广泛应用于九寨沟导游词。</w:t>
      </w:r>
    </w:p>
    <w:p w:rsidR="00DA0ECE" w:rsidRPr="00AD6C3C" w:rsidRDefault="00DA0ECE" w:rsidP="00FE3A2E">
      <w:pPr>
        <w:ind w:firstLineChars="200" w:firstLine="420"/>
        <w:rPr>
          <w:rFonts w:ascii="Times New Roman" w:hAnsi="Times New Roman"/>
          <w:color w:val="000000"/>
          <w:szCs w:val="21"/>
        </w:rPr>
      </w:pPr>
      <w:r w:rsidRPr="00AD6C3C">
        <w:rPr>
          <w:rFonts w:ascii="Times New Roman" w:hAnsi="Times New Roman" w:hint="eastAsia"/>
          <w:color w:val="000000"/>
          <w:szCs w:val="21"/>
        </w:rPr>
        <w:lastRenderedPageBreak/>
        <w:t>（</w:t>
      </w:r>
      <w:r w:rsidRPr="00AD6C3C">
        <w:rPr>
          <w:rFonts w:ascii="Times New Roman" w:hAnsi="Times New Roman"/>
          <w:color w:val="000000"/>
          <w:szCs w:val="21"/>
        </w:rPr>
        <w:t>3</w:t>
      </w:r>
      <w:r w:rsidRPr="00AD6C3C">
        <w:rPr>
          <w:rFonts w:ascii="Times New Roman" w:hAnsi="Times New Roman" w:hint="eastAsia"/>
          <w:color w:val="000000"/>
          <w:szCs w:val="21"/>
        </w:rPr>
        <w:t>）</w:t>
      </w:r>
      <w:r w:rsidRPr="00AD6C3C">
        <w:rPr>
          <w:rFonts w:ascii="Times New Roman" w:hAnsi="Times New Roman" w:hint="eastAsia"/>
          <w:b/>
          <w:color w:val="000000"/>
          <w:szCs w:val="21"/>
        </w:rPr>
        <w:t>信息地理研究</w:t>
      </w:r>
      <w:r w:rsidRPr="00AD6C3C">
        <w:rPr>
          <w:rFonts w:ascii="Times New Roman" w:hAnsi="Times New Roman" w:hint="eastAsia"/>
          <w:color w:val="000000"/>
          <w:szCs w:val="21"/>
        </w:rPr>
        <w:t>：自</w:t>
      </w:r>
      <w:r w:rsidRPr="00AD6C3C">
        <w:rPr>
          <w:rFonts w:ascii="Times New Roman" w:hAnsi="Times New Roman"/>
          <w:color w:val="000000"/>
          <w:szCs w:val="21"/>
        </w:rPr>
        <w:t>1997</w:t>
      </w:r>
      <w:r w:rsidRPr="00AD6C3C">
        <w:rPr>
          <w:rFonts w:ascii="Times New Roman" w:hAnsi="Times New Roman" w:hint="eastAsia"/>
          <w:color w:val="000000"/>
          <w:szCs w:val="21"/>
        </w:rPr>
        <w:t>起年对国内互联网信息地理学进行</w:t>
      </w:r>
      <w:r>
        <w:rPr>
          <w:rFonts w:ascii="Times New Roman" w:hAnsi="Times New Roman" w:hint="eastAsia"/>
          <w:color w:val="000000"/>
          <w:szCs w:val="21"/>
        </w:rPr>
        <w:t>了</w:t>
      </w:r>
      <w:r w:rsidRPr="00AD6C3C">
        <w:rPr>
          <w:rFonts w:ascii="Times New Roman" w:hAnsi="Times New Roman" w:hint="eastAsia"/>
          <w:color w:val="000000"/>
          <w:szCs w:val="21"/>
        </w:rPr>
        <w:t>实证研究，</w:t>
      </w:r>
      <w:r>
        <w:rPr>
          <w:rFonts w:ascii="Times New Roman" w:hAnsi="Times New Roman"/>
          <w:color w:val="000000"/>
          <w:szCs w:val="21"/>
        </w:rPr>
        <w:t>1995-19966</w:t>
      </w:r>
      <w:r>
        <w:rPr>
          <w:rFonts w:ascii="Times New Roman" w:hAnsi="Times New Roman" w:hint="eastAsia"/>
          <w:color w:val="000000"/>
          <w:szCs w:val="21"/>
        </w:rPr>
        <w:t>年对中国教育网进行了空间连通性实验研究，</w:t>
      </w:r>
      <w:r w:rsidRPr="00AD6C3C">
        <w:rPr>
          <w:rFonts w:ascii="Times New Roman" w:hAnsi="Times New Roman" w:hint="eastAsia"/>
          <w:color w:val="000000"/>
          <w:szCs w:val="21"/>
        </w:rPr>
        <w:t>并对网络文化地理问题、旅游网站空间分异及发展战略、信息时代地理空间的特征、旅游与科技信息化发展战略、</w:t>
      </w:r>
      <w:r w:rsidR="000D1E80">
        <w:rPr>
          <w:rFonts w:ascii="Times New Roman" w:hAnsi="Times New Roman" w:hint="eastAsia"/>
          <w:color w:val="000000"/>
          <w:szCs w:val="21"/>
        </w:rPr>
        <w:t>大数据与旅游、</w:t>
      </w:r>
      <w:bookmarkStart w:id="0" w:name="_GoBack"/>
      <w:bookmarkEnd w:id="0"/>
      <w:r w:rsidRPr="00AD6C3C">
        <w:rPr>
          <w:rFonts w:ascii="Times New Roman" w:hAnsi="Times New Roman" w:hint="eastAsia"/>
          <w:color w:val="000000"/>
          <w:szCs w:val="21"/>
        </w:rPr>
        <w:t>主题频率与书论演进关系等进行了探索研究，中英文发表信息技术及情报检索研究论文</w:t>
      </w:r>
      <w:r w:rsidRPr="00AD6C3C">
        <w:rPr>
          <w:rFonts w:ascii="Times New Roman" w:hAnsi="Times New Roman"/>
          <w:color w:val="000000"/>
          <w:szCs w:val="21"/>
        </w:rPr>
        <w:t>20</w:t>
      </w:r>
      <w:r w:rsidRPr="00AD6C3C">
        <w:rPr>
          <w:rFonts w:ascii="Times New Roman" w:hAnsi="Times New Roman" w:hint="eastAsia"/>
          <w:color w:val="000000"/>
          <w:szCs w:val="21"/>
        </w:rPr>
        <w:t>多篇，成果发表于《情报科学》</w:t>
      </w:r>
      <w:r>
        <w:rPr>
          <w:rFonts w:ascii="Times New Roman" w:hAnsi="Times New Roman" w:hint="eastAsia"/>
          <w:color w:val="000000"/>
          <w:szCs w:val="21"/>
        </w:rPr>
        <w:t>《情报学刊》《</w:t>
      </w:r>
      <w:r>
        <w:rPr>
          <w:rFonts w:ascii="Times New Roman" w:hAnsi="Times New Roman"/>
          <w:color w:val="000000"/>
          <w:szCs w:val="21"/>
        </w:rPr>
        <w:t>Enter 2004</w:t>
      </w:r>
      <w:r>
        <w:rPr>
          <w:rFonts w:ascii="Times New Roman" w:hAnsi="Times New Roman" w:hint="eastAsia"/>
          <w:color w:val="000000"/>
          <w:szCs w:val="21"/>
        </w:rPr>
        <w:t>》</w:t>
      </w:r>
      <w:r w:rsidR="00840B13">
        <w:rPr>
          <w:rFonts w:ascii="Times New Roman" w:hAnsi="Times New Roman" w:hint="eastAsia"/>
          <w:color w:val="000000"/>
          <w:szCs w:val="21"/>
        </w:rPr>
        <w:t>《</w:t>
      </w:r>
      <w:r w:rsidR="00840B13">
        <w:rPr>
          <w:rFonts w:ascii="Times New Roman" w:hAnsi="Times New Roman" w:hint="eastAsia"/>
          <w:color w:val="000000"/>
          <w:szCs w:val="21"/>
        </w:rPr>
        <w:t>t</w:t>
      </w:r>
      <w:r w:rsidR="00840B13">
        <w:rPr>
          <w:rFonts w:ascii="Times New Roman" w:hAnsi="Times New Roman"/>
          <w:color w:val="000000"/>
          <w:szCs w:val="21"/>
        </w:rPr>
        <w:t>ourism geographies</w:t>
      </w:r>
      <w:r w:rsidR="00840B13">
        <w:rPr>
          <w:rFonts w:ascii="Times New Roman" w:hAnsi="Times New Roman" w:hint="eastAsia"/>
          <w:color w:val="000000"/>
          <w:szCs w:val="21"/>
        </w:rPr>
        <w:t>》</w:t>
      </w:r>
      <w:r w:rsidRPr="00AD6C3C">
        <w:rPr>
          <w:rFonts w:ascii="Times New Roman" w:hAnsi="Times New Roman" w:hint="eastAsia"/>
          <w:color w:val="000000"/>
          <w:szCs w:val="21"/>
        </w:rPr>
        <w:t>等中、英文学术刊物。</w:t>
      </w:r>
    </w:p>
    <w:p w:rsidR="00DA0ECE" w:rsidRPr="00AD6C3C" w:rsidRDefault="00DA0ECE" w:rsidP="00FE3A2E">
      <w:pPr>
        <w:ind w:firstLineChars="200" w:firstLine="420"/>
        <w:rPr>
          <w:rFonts w:ascii="Times New Roman" w:hAnsi="Times New Roman"/>
          <w:color w:val="000000"/>
          <w:szCs w:val="21"/>
        </w:rPr>
      </w:pPr>
      <w:r w:rsidRPr="00AD6C3C">
        <w:rPr>
          <w:rFonts w:ascii="Times New Roman" w:hAnsi="Times New Roman" w:hint="eastAsia"/>
          <w:color w:val="000000"/>
          <w:szCs w:val="21"/>
        </w:rPr>
        <w:t>（</w:t>
      </w:r>
      <w:r w:rsidRPr="00AD6C3C">
        <w:rPr>
          <w:rFonts w:ascii="Times New Roman" w:hAnsi="Times New Roman"/>
          <w:color w:val="000000"/>
          <w:szCs w:val="21"/>
        </w:rPr>
        <w:t>4</w:t>
      </w:r>
      <w:r w:rsidRPr="00AD6C3C">
        <w:rPr>
          <w:rFonts w:ascii="Times New Roman" w:hAnsi="Times New Roman" w:hint="eastAsia"/>
          <w:color w:val="000000"/>
          <w:szCs w:val="21"/>
        </w:rPr>
        <w:t>）</w:t>
      </w:r>
      <w:r w:rsidRPr="00AD6C3C">
        <w:rPr>
          <w:rFonts w:ascii="Times New Roman" w:hAnsi="Times New Roman" w:hint="eastAsia"/>
          <w:b/>
          <w:color w:val="000000"/>
          <w:szCs w:val="21"/>
        </w:rPr>
        <w:t>书法地理与书法审美研究</w:t>
      </w:r>
      <w:r w:rsidRPr="00AD6C3C">
        <w:rPr>
          <w:rFonts w:ascii="Times New Roman" w:hAnsi="Times New Roman" w:hint="eastAsia"/>
          <w:color w:val="000000"/>
          <w:szCs w:val="21"/>
        </w:rPr>
        <w:t>：集中于书法地理学、中国书法美学、书法景观、书法文化体系和书法文化产业及书法旅游方面，在中、英、日文学术刊物文集发表论文</w:t>
      </w:r>
      <w:r w:rsidRPr="00AD6C3C">
        <w:rPr>
          <w:rFonts w:ascii="Times New Roman" w:hAnsi="Times New Roman"/>
          <w:color w:val="000000"/>
          <w:szCs w:val="21"/>
        </w:rPr>
        <w:t>45</w:t>
      </w:r>
      <w:r w:rsidRPr="00AD6C3C">
        <w:rPr>
          <w:rFonts w:ascii="Times New Roman" w:hAnsi="Times New Roman" w:hint="eastAsia"/>
          <w:color w:val="000000"/>
          <w:szCs w:val="21"/>
        </w:rPr>
        <w:t>篇，其中国际</w:t>
      </w:r>
      <w:r w:rsidRPr="00AD6C3C">
        <w:rPr>
          <w:rFonts w:ascii="Times New Roman" w:hAnsi="Times New Roman"/>
          <w:color w:val="000000"/>
          <w:szCs w:val="21"/>
        </w:rPr>
        <w:t>SSCI</w:t>
      </w:r>
      <w:r w:rsidRPr="00AD6C3C">
        <w:rPr>
          <w:rFonts w:ascii="Times New Roman" w:hAnsi="Times New Roman" w:hint="eastAsia"/>
          <w:color w:val="000000"/>
          <w:szCs w:val="21"/>
        </w:rPr>
        <w:t>检索论文</w:t>
      </w:r>
      <w:r w:rsidRPr="00AD6C3C">
        <w:rPr>
          <w:rFonts w:ascii="Times New Roman" w:hAnsi="Times New Roman"/>
          <w:color w:val="000000"/>
          <w:szCs w:val="21"/>
        </w:rPr>
        <w:t>5</w:t>
      </w:r>
      <w:r w:rsidRPr="00AD6C3C">
        <w:rPr>
          <w:rFonts w:ascii="Times New Roman" w:hAnsi="Times New Roman" w:hint="eastAsia"/>
          <w:color w:val="000000"/>
          <w:szCs w:val="21"/>
        </w:rPr>
        <w:t>篇，</w:t>
      </w:r>
      <w:r w:rsidRPr="00AD6C3C">
        <w:rPr>
          <w:rFonts w:ascii="Times New Roman" w:hAnsi="Times New Roman"/>
          <w:color w:val="000000"/>
          <w:szCs w:val="21"/>
        </w:rPr>
        <w:t>SCI</w:t>
      </w:r>
      <w:r w:rsidRPr="00AD6C3C">
        <w:rPr>
          <w:rFonts w:ascii="Times New Roman" w:hAnsi="Times New Roman" w:hint="eastAsia"/>
          <w:color w:val="000000"/>
          <w:szCs w:val="21"/>
        </w:rPr>
        <w:t>检索论文</w:t>
      </w:r>
      <w:r w:rsidRPr="00AD6C3C">
        <w:rPr>
          <w:rFonts w:ascii="Times New Roman" w:hAnsi="Times New Roman"/>
          <w:color w:val="000000"/>
          <w:szCs w:val="21"/>
        </w:rPr>
        <w:t>1</w:t>
      </w:r>
      <w:r w:rsidRPr="00AD6C3C">
        <w:rPr>
          <w:rFonts w:ascii="Times New Roman" w:hAnsi="Times New Roman" w:hint="eastAsia"/>
          <w:color w:val="000000"/>
          <w:szCs w:val="21"/>
        </w:rPr>
        <w:t>篇，国内</w:t>
      </w:r>
      <w:r w:rsidRPr="00AD6C3C">
        <w:rPr>
          <w:rFonts w:ascii="Times New Roman" w:hAnsi="Times New Roman"/>
          <w:color w:val="000000"/>
          <w:szCs w:val="21"/>
        </w:rPr>
        <w:t>CSSCI</w:t>
      </w:r>
      <w:r w:rsidRPr="00AD6C3C">
        <w:rPr>
          <w:rFonts w:ascii="Times New Roman" w:hAnsi="Times New Roman" w:hint="eastAsia"/>
          <w:color w:val="000000"/>
          <w:szCs w:val="21"/>
        </w:rPr>
        <w:t>检索论文</w:t>
      </w:r>
      <w:r w:rsidRPr="00AD6C3C">
        <w:rPr>
          <w:rFonts w:ascii="Times New Roman" w:hAnsi="Times New Roman"/>
          <w:color w:val="000000"/>
          <w:szCs w:val="21"/>
        </w:rPr>
        <w:t>13</w:t>
      </w:r>
      <w:r w:rsidRPr="00AD6C3C">
        <w:rPr>
          <w:rFonts w:ascii="Times New Roman" w:hAnsi="Times New Roman" w:hint="eastAsia"/>
          <w:color w:val="000000"/>
          <w:szCs w:val="21"/>
        </w:rPr>
        <w:t>篇，国际学术会议交流</w:t>
      </w:r>
      <w:r w:rsidRPr="00AD6C3C">
        <w:rPr>
          <w:rFonts w:ascii="Times New Roman" w:hAnsi="Times New Roman"/>
          <w:color w:val="000000"/>
          <w:szCs w:val="21"/>
        </w:rPr>
        <w:t>21</w:t>
      </w:r>
      <w:r w:rsidRPr="00AD6C3C">
        <w:rPr>
          <w:rFonts w:ascii="Times New Roman" w:hAnsi="Times New Roman" w:hint="eastAsia"/>
          <w:color w:val="000000"/>
          <w:szCs w:val="21"/>
        </w:rPr>
        <w:t>篇，国内学术会议交流</w:t>
      </w:r>
      <w:r w:rsidRPr="00AD6C3C">
        <w:rPr>
          <w:rFonts w:ascii="Times New Roman" w:hAnsi="Times New Roman"/>
          <w:color w:val="000000"/>
          <w:szCs w:val="21"/>
        </w:rPr>
        <w:t>12</w:t>
      </w:r>
      <w:r w:rsidRPr="00AD6C3C">
        <w:rPr>
          <w:rFonts w:ascii="Times New Roman" w:hAnsi="Times New Roman" w:hint="eastAsia"/>
          <w:color w:val="000000"/>
          <w:szCs w:val="21"/>
        </w:rPr>
        <w:t>篇，书法研究论文获得中国书协主办学术会议评奖获奖论文多次，论文入选中国书协主编《当代中国书法论文选</w:t>
      </w:r>
      <w:r w:rsidRPr="00AD6C3C">
        <w:rPr>
          <w:rFonts w:ascii="Times New Roman" w:hAnsi="Times New Roman"/>
          <w:color w:val="000000"/>
          <w:szCs w:val="21"/>
        </w:rPr>
        <w:t>1949-2008</w:t>
      </w:r>
      <w:r w:rsidRPr="00AD6C3C">
        <w:rPr>
          <w:rFonts w:ascii="Times New Roman" w:hAnsi="Times New Roman" w:hint="eastAsia"/>
          <w:color w:val="000000"/>
          <w:szCs w:val="21"/>
        </w:rPr>
        <w:t>》，形成一定的国际和国内学术影响。归纳了书法审美中的自然景观描述的功能类型；探讨和校正了书法景观的概念、并提出了书法地理学研究体系；提出了书法文化链和大书法文化发展战略、书法景观旅游规划的多层次模式；构建了书法审美维度评价模型；引入无差异曲线分析书法审美效用并得出了解释书法审美偏好变化的三个原理；利用观察法确认了书法审美观众的行为性评价现象；对书法景观知觉、书法审美维度等进行了实验美学、实验心理研究，研制了书法景观指数并对全球化背景下大陆城镇书法景观原真性进行了描述评价、并拓展到香港、日本的书法景观研究。主持完成相关国家自然基金项目</w:t>
      </w:r>
      <w:r w:rsidRPr="00AD6C3C">
        <w:rPr>
          <w:rFonts w:ascii="Times New Roman" w:hAnsi="Times New Roman"/>
          <w:color w:val="000000"/>
          <w:szCs w:val="21"/>
        </w:rPr>
        <w:t>1</w:t>
      </w:r>
      <w:r w:rsidRPr="00AD6C3C">
        <w:rPr>
          <w:rFonts w:ascii="Times New Roman" w:hAnsi="Times New Roman" w:hint="eastAsia"/>
          <w:color w:val="000000"/>
          <w:szCs w:val="21"/>
        </w:rPr>
        <w:t>项。相关文发表于《</w:t>
      </w:r>
      <w:r w:rsidRPr="00AD6C3C">
        <w:rPr>
          <w:rFonts w:ascii="Times New Roman" w:hAnsi="Times New Roman"/>
          <w:color w:val="000000"/>
          <w:szCs w:val="21"/>
        </w:rPr>
        <w:t>Current Issues in Tourism</w:t>
      </w:r>
      <w:r w:rsidRPr="00AD6C3C">
        <w:rPr>
          <w:rFonts w:ascii="Times New Roman" w:hAnsi="Times New Roman" w:hint="eastAsia"/>
          <w:color w:val="000000"/>
          <w:szCs w:val="21"/>
        </w:rPr>
        <w:t>》、《</w:t>
      </w:r>
      <w:r w:rsidRPr="00AD6C3C">
        <w:rPr>
          <w:rFonts w:ascii="Times New Roman" w:hAnsi="Times New Roman"/>
          <w:color w:val="000000"/>
          <w:szCs w:val="21"/>
        </w:rPr>
        <w:t>Tourism Management</w:t>
      </w:r>
      <w:r w:rsidRPr="00AD6C3C">
        <w:rPr>
          <w:rFonts w:ascii="Times New Roman" w:hAnsi="Times New Roman" w:hint="eastAsia"/>
          <w:color w:val="000000"/>
          <w:szCs w:val="21"/>
        </w:rPr>
        <w:t>》、《</w:t>
      </w:r>
      <w:r w:rsidRPr="00AD6C3C">
        <w:rPr>
          <w:rFonts w:ascii="Times New Roman" w:hAnsi="Times New Roman"/>
          <w:color w:val="000000"/>
          <w:szCs w:val="21"/>
        </w:rPr>
        <w:t>Landscape and Urban Planning</w:t>
      </w:r>
      <w:r w:rsidRPr="00AD6C3C">
        <w:rPr>
          <w:rFonts w:ascii="Times New Roman" w:hAnsi="Times New Roman" w:hint="eastAsia"/>
          <w:color w:val="000000"/>
          <w:szCs w:val="21"/>
        </w:rPr>
        <w:t>》、《</w:t>
      </w:r>
      <w:r w:rsidRPr="00AD6C3C">
        <w:rPr>
          <w:rFonts w:ascii="Times New Roman" w:hAnsi="Times New Roman"/>
          <w:color w:val="000000"/>
          <w:szCs w:val="21"/>
        </w:rPr>
        <w:t>International J. of Psychology</w:t>
      </w:r>
      <w:r w:rsidRPr="00AD6C3C">
        <w:rPr>
          <w:rFonts w:ascii="Times New Roman" w:hAnsi="Times New Roman" w:hint="eastAsia"/>
          <w:color w:val="000000"/>
          <w:szCs w:val="21"/>
        </w:rPr>
        <w:t>》等国际学术期刊及《地理学报》</w:t>
      </w:r>
      <w:r>
        <w:rPr>
          <w:rFonts w:ascii="Times New Roman" w:hAnsi="Times New Roman" w:hint="eastAsia"/>
          <w:color w:val="000000"/>
          <w:szCs w:val="21"/>
        </w:rPr>
        <w:t>《中国书法》《地理科学》《人文地理》《城乡建设》等国内核心杂志</w:t>
      </w:r>
      <w:r w:rsidRPr="00AD6C3C">
        <w:rPr>
          <w:rFonts w:ascii="Times New Roman" w:hAnsi="Times New Roman" w:hint="eastAsia"/>
          <w:color w:val="000000"/>
          <w:szCs w:val="21"/>
        </w:rPr>
        <w:t>，多篇书法研究论文参加国际经验实验美学大会（</w:t>
      </w:r>
      <w:r w:rsidRPr="00AD6C3C">
        <w:rPr>
          <w:rFonts w:ascii="Times New Roman" w:hAnsi="Times New Roman"/>
          <w:color w:val="000000"/>
          <w:szCs w:val="21"/>
        </w:rPr>
        <w:t>IAEA</w:t>
      </w:r>
      <w:r w:rsidRPr="00AD6C3C">
        <w:rPr>
          <w:rFonts w:ascii="Times New Roman" w:hAnsi="Times New Roman" w:hint="eastAsia"/>
          <w:color w:val="000000"/>
          <w:szCs w:val="21"/>
        </w:rPr>
        <w:t>）、国际美学会（</w:t>
      </w:r>
      <w:r w:rsidRPr="00AD6C3C">
        <w:rPr>
          <w:rFonts w:ascii="Times New Roman" w:hAnsi="Times New Roman"/>
          <w:color w:val="000000"/>
          <w:szCs w:val="21"/>
        </w:rPr>
        <w:t>IAA</w:t>
      </w:r>
      <w:r w:rsidRPr="00AD6C3C">
        <w:rPr>
          <w:rFonts w:ascii="Times New Roman" w:hAnsi="Times New Roman" w:hint="eastAsia"/>
          <w:color w:val="000000"/>
          <w:szCs w:val="21"/>
        </w:rPr>
        <w:t>）大会交流，以及中法旅游论坛、</w:t>
      </w:r>
      <w:r w:rsidRPr="00AD6C3C">
        <w:rPr>
          <w:rFonts w:ascii="Times New Roman" w:hAnsi="Times New Roman"/>
          <w:color w:val="000000"/>
          <w:szCs w:val="21"/>
        </w:rPr>
        <w:t>ITSA/PATA</w:t>
      </w:r>
      <w:r w:rsidRPr="00AD6C3C">
        <w:rPr>
          <w:rFonts w:ascii="Times New Roman" w:hAnsi="Times New Roman" w:hint="eastAsia"/>
          <w:color w:val="000000"/>
          <w:szCs w:val="21"/>
        </w:rPr>
        <w:t>等国际会议主题报告，应邀在香港、美国、英国、日本及国内多个大学做书法景观相关内容的学术报告。</w:t>
      </w:r>
    </w:p>
    <w:p w:rsidR="00DA0ECE" w:rsidRDefault="00DA0ECE" w:rsidP="00900D78">
      <w:pPr>
        <w:ind w:firstLine="420"/>
        <w:rPr>
          <w:rFonts w:ascii="Times New Roman" w:hAnsi="Times New Roman"/>
          <w:color w:val="000000"/>
          <w:szCs w:val="21"/>
        </w:rPr>
      </w:pPr>
      <w:r w:rsidRPr="00AD6C3C">
        <w:rPr>
          <w:rFonts w:ascii="Times New Roman" w:hAnsi="Times New Roman" w:hint="eastAsia"/>
          <w:color w:val="000000"/>
          <w:szCs w:val="21"/>
        </w:rPr>
        <w:t>（</w:t>
      </w:r>
      <w:r w:rsidRPr="00AD6C3C">
        <w:rPr>
          <w:rFonts w:ascii="Times New Roman" w:hAnsi="Times New Roman"/>
          <w:color w:val="000000"/>
          <w:szCs w:val="21"/>
        </w:rPr>
        <w:t>5</w:t>
      </w:r>
      <w:r w:rsidRPr="00AD6C3C">
        <w:rPr>
          <w:rFonts w:ascii="Times New Roman" w:hAnsi="Times New Roman" w:hint="eastAsia"/>
          <w:color w:val="000000"/>
          <w:szCs w:val="21"/>
        </w:rPr>
        <w:t>）</w:t>
      </w:r>
      <w:r w:rsidRPr="00AC2690">
        <w:rPr>
          <w:rFonts w:ascii="Times New Roman" w:hAnsi="Times New Roman" w:hint="eastAsia"/>
          <w:b/>
          <w:color w:val="000000"/>
          <w:szCs w:val="21"/>
        </w:rPr>
        <w:t>旅游规划理论</w:t>
      </w:r>
      <w:r>
        <w:rPr>
          <w:rFonts w:ascii="Times New Roman" w:hAnsi="Times New Roman" w:hint="eastAsia"/>
          <w:b/>
          <w:color w:val="000000"/>
          <w:szCs w:val="21"/>
        </w:rPr>
        <w:t>：</w:t>
      </w:r>
      <w:r>
        <w:rPr>
          <w:rFonts w:ascii="Times New Roman" w:hAnsi="Times New Roman" w:hint="eastAsia"/>
          <w:color w:val="000000"/>
          <w:szCs w:val="21"/>
        </w:rPr>
        <w:t>对古镇文化景观、遗产体系及知觉特征进行了系统研究，揭示了与</w:t>
      </w:r>
      <w:r>
        <w:rPr>
          <w:rFonts w:ascii="Times New Roman" w:hAnsi="Times New Roman"/>
          <w:color w:val="000000"/>
          <w:szCs w:val="21"/>
        </w:rPr>
        <w:t>Lynch</w:t>
      </w:r>
      <w:r>
        <w:rPr>
          <w:rFonts w:ascii="Times New Roman" w:hAnsi="Times New Roman" w:hint="eastAsia"/>
          <w:color w:val="000000"/>
          <w:szCs w:val="21"/>
        </w:rPr>
        <w:t>城市意象类似但不同的古镇知觉表象模式，对古镇遗产体系（</w:t>
      </w:r>
      <w:r w:rsidRPr="00AD6C3C">
        <w:rPr>
          <w:rFonts w:ascii="Times New Roman" w:hAnsi="Times New Roman" w:hint="eastAsia"/>
          <w:color w:val="000000"/>
          <w:szCs w:val="21"/>
        </w:rPr>
        <w:t>物质</w:t>
      </w:r>
      <w:r>
        <w:rPr>
          <w:rFonts w:ascii="Times New Roman" w:hAnsi="Times New Roman" w:hint="eastAsia"/>
          <w:color w:val="000000"/>
          <w:szCs w:val="21"/>
        </w:rPr>
        <w:t>遗产和非物质遗产）、景观评价体系和景观知觉进行了系统案例研究</w:t>
      </w:r>
      <w:r w:rsidRPr="00AD6C3C">
        <w:rPr>
          <w:rFonts w:ascii="Times New Roman" w:hAnsi="Times New Roman" w:hint="eastAsia"/>
          <w:color w:val="000000"/>
          <w:szCs w:val="21"/>
        </w:rPr>
        <w:t>，</w:t>
      </w:r>
      <w:r>
        <w:rPr>
          <w:rFonts w:ascii="Times New Roman" w:hAnsi="Times New Roman" w:hint="eastAsia"/>
          <w:color w:val="000000"/>
          <w:szCs w:val="21"/>
        </w:rPr>
        <w:t>在此基础上提出了景观意象导向型旅游</w:t>
      </w:r>
      <w:r w:rsidRPr="00AD6C3C">
        <w:rPr>
          <w:rFonts w:ascii="Times New Roman" w:hAnsi="Times New Roman" w:hint="eastAsia"/>
          <w:color w:val="000000"/>
          <w:szCs w:val="21"/>
        </w:rPr>
        <w:t>规划</w:t>
      </w:r>
      <w:r>
        <w:rPr>
          <w:rFonts w:ascii="Times New Roman" w:hAnsi="Times New Roman" w:hint="eastAsia"/>
          <w:color w:val="000000"/>
          <w:szCs w:val="21"/>
        </w:rPr>
        <w:t>理论模式，</w:t>
      </w:r>
      <w:r w:rsidRPr="00AD6C3C">
        <w:rPr>
          <w:rFonts w:ascii="Times New Roman" w:hAnsi="Times New Roman" w:hint="eastAsia"/>
          <w:color w:val="000000"/>
          <w:szCs w:val="21"/>
        </w:rPr>
        <w:t>景观意象导向型古镇规划模式</w:t>
      </w:r>
      <w:r>
        <w:rPr>
          <w:rFonts w:ascii="Times New Roman" w:hAnsi="Times New Roman" w:hint="eastAsia"/>
          <w:color w:val="000000"/>
          <w:szCs w:val="21"/>
        </w:rPr>
        <w:t>是</w:t>
      </w:r>
      <w:r w:rsidRPr="00AD6C3C">
        <w:rPr>
          <w:rFonts w:ascii="Times New Roman" w:hAnsi="Times New Roman" w:hint="eastAsia"/>
          <w:color w:val="000000"/>
          <w:szCs w:val="21"/>
        </w:rPr>
        <w:t>文化景观地理知觉理论在遗产保护与旅游发展规划中的溢出渗透</w:t>
      </w:r>
      <w:r>
        <w:rPr>
          <w:rFonts w:ascii="Times New Roman" w:hAnsi="Times New Roman" w:hint="eastAsia"/>
          <w:color w:val="000000"/>
          <w:szCs w:val="21"/>
        </w:rPr>
        <w:t>。在旅游规划基础研究方面，提出了旅游资源评价的主成分优先法的变形权重模型和可转换权重法的不同先行案例调查权重提取归并法。</w:t>
      </w:r>
    </w:p>
    <w:p w:rsidR="00DA0ECE" w:rsidRPr="00AD6C3C" w:rsidRDefault="00DA0ECE" w:rsidP="00900D78">
      <w:pPr>
        <w:ind w:firstLine="420"/>
        <w:rPr>
          <w:rFonts w:ascii="Times New Roman" w:hAnsi="Times New Roman"/>
          <w:color w:val="000000"/>
          <w:szCs w:val="21"/>
        </w:rPr>
      </w:pPr>
      <w:r>
        <w:rPr>
          <w:rFonts w:ascii="Times New Roman" w:hAnsi="Times New Roman" w:hint="eastAsia"/>
          <w:color w:val="000000"/>
          <w:szCs w:val="21"/>
        </w:rPr>
        <w:t>（</w:t>
      </w:r>
      <w:r>
        <w:rPr>
          <w:rFonts w:ascii="Times New Roman" w:hAnsi="Times New Roman"/>
          <w:color w:val="000000"/>
          <w:szCs w:val="21"/>
        </w:rPr>
        <w:t>6</w:t>
      </w:r>
      <w:r>
        <w:rPr>
          <w:rFonts w:ascii="Times New Roman" w:hAnsi="Times New Roman" w:hint="eastAsia"/>
          <w:color w:val="000000"/>
          <w:szCs w:val="21"/>
        </w:rPr>
        <w:t>）</w:t>
      </w:r>
      <w:r w:rsidRPr="00AD6C3C">
        <w:rPr>
          <w:rFonts w:ascii="Times New Roman" w:hAnsi="Times New Roman" w:hint="eastAsia"/>
          <w:b/>
          <w:color w:val="000000"/>
          <w:szCs w:val="21"/>
        </w:rPr>
        <w:t>文化地理及其它文化研究</w:t>
      </w:r>
      <w:r w:rsidRPr="00AD6C3C">
        <w:rPr>
          <w:rFonts w:ascii="Times New Roman" w:hAnsi="Times New Roman" w:hint="eastAsia"/>
          <w:color w:val="000000"/>
          <w:szCs w:val="21"/>
        </w:rPr>
        <w:t>：包括甲骨文与殷商景观地理、空间概念学科属性和地理空间观、古诗词与地方旅游资源、民俗文化资源评价、中国传统洞箫指法与传承等的研究。</w:t>
      </w:r>
      <w:r>
        <w:rPr>
          <w:rFonts w:ascii="宋体" w:hAnsi="宋体" w:hint="eastAsia"/>
          <w:color w:val="000000"/>
          <w:szCs w:val="21"/>
        </w:rPr>
        <w:t>①</w:t>
      </w:r>
      <w:r w:rsidRPr="00AD6C3C">
        <w:rPr>
          <w:rFonts w:ascii="Times New Roman" w:hAnsi="Times New Roman" w:hint="eastAsia"/>
          <w:color w:val="000000"/>
          <w:szCs w:val="21"/>
        </w:rPr>
        <w:t>书法地理学研究体系</w:t>
      </w:r>
      <w:r>
        <w:rPr>
          <w:rFonts w:ascii="Times New Roman" w:hAnsi="Times New Roman" w:hint="eastAsia"/>
          <w:color w:val="000000"/>
          <w:szCs w:val="21"/>
        </w:rPr>
        <w:t>：</w:t>
      </w:r>
      <w:r w:rsidRPr="00AD6C3C">
        <w:rPr>
          <w:rFonts w:ascii="Times New Roman" w:hAnsi="Times New Roman" w:hint="eastAsia"/>
          <w:color w:val="000000"/>
          <w:szCs w:val="21"/>
        </w:rPr>
        <w:t>校正了书法景观概念及其分类体系，认为人地关系视野可构建符号文化景观地理研究的体系，说明了地理学可以解释（书法）文化符号及其空间价值；校正了明代以来书法“南北分异”的简单机械、环境决定论倾向的书法分异史地观</w:t>
      </w:r>
      <w:r>
        <w:rPr>
          <w:rFonts w:ascii="Times New Roman" w:hAnsi="Times New Roman" w:hint="eastAsia"/>
          <w:color w:val="000000"/>
          <w:szCs w:val="21"/>
        </w:rPr>
        <w:t>；</w:t>
      </w:r>
      <w:r>
        <w:rPr>
          <w:rFonts w:ascii="宋体" w:hAnsi="宋体" w:hint="eastAsia"/>
          <w:color w:val="000000"/>
          <w:szCs w:val="21"/>
        </w:rPr>
        <w:t>②</w:t>
      </w:r>
      <w:r w:rsidRPr="00AD6C3C">
        <w:rPr>
          <w:rFonts w:ascii="Times New Roman" w:hAnsi="Times New Roman" w:hint="eastAsia"/>
          <w:color w:val="000000"/>
          <w:szCs w:val="21"/>
        </w:rPr>
        <w:t>甲骨文与殷人景观地理学研究</w:t>
      </w:r>
      <w:r>
        <w:rPr>
          <w:rFonts w:ascii="Times New Roman" w:hAnsi="Times New Roman" w:hint="eastAsia"/>
          <w:color w:val="000000"/>
          <w:szCs w:val="21"/>
        </w:rPr>
        <w:t>：</w:t>
      </w:r>
      <w:r w:rsidRPr="00AD6C3C">
        <w:rPr>
          <w:rFonts w:ascii="Times New Roman" w:hAnsi="Times New Roman" w:hint="eastAsia"/>
          <w:color w:val="000000"/>
          <w:szCs w:val="21"/>
        </w:rPr>
        <w:t>揭示了缺乏现代自然科学地理知识且具有原始文化宗教背景的殷人的景观意象的维度构成，说明甲骨文文字的结构、字义统计信息可以揭示殷人景观知觉与景观建构模式，文化地理学可与文字学、历史学交叉研究；</w:t>
      </w:r>
      <w:r>
        <w:rPr>
          <w:rFonts w:ascii="宋体" w:hAnsi="宋体" w:hint="eastAsia"/>
          <w:color w:val="000000"/>
          <w:szCs w:val="21"/>
        </w:rPr>
        <w:t>③</w:t>
      </w:r>
      <w:r w:rsidRPr="00AD6C3C">
        <w:rPr>
          <w:rFonts w:ascii="Times New Roman" w:hAnsi="Times New Roman" w:hint="eastAsia"/>
          <w:color w:val="000000"/>
          <w:szCs w:val="21"/>
        </w:rPr>
        <w:t>对历代书法理论中自然景观意象分类描述</w:t>
      </w:r>
      <w:r>
        <w:rPr>
          <w:rFonts w:ascii="Times New Roman" w:hAnsi="Times New Roman" w:hint="eastAsia"/>
          <w:color w:val="000000"/>
          <w:szCs w:val="21"/>
        </w:rPr>
        <w:t>研究：</w:t>
      </w:r>
      <w:r w:rsidRPr="00AD6C3C">
        <w:rPr>
          <w:rFonts w:ascii="Times New Roman" w:hAnsi="Times New Roman" w:hint="eastAsia"/>
          <w:color w:val="000000"/>
          <w:szCs w:val="21"/>
        </w:rPr>
        <w:t>说明自然景观意象描述具有多种书法审美和批评功能，可以揭示历代书论的传承关系，说明了从地理学人地关系出发的自然及景观描述的文本分析，具有美学和史学意义，体现出文化地理的学术溢出</w:t>
      </w:r>
      <w:r>
        <w:rPr>
          <w:rFonts w:ascii="Times New Roman" w:hAnsi="Times New Roman" w:hint="eastAsia"/>
          <w:color w:val="000000"/>
          <w:szCs w:val="21"/>
        </w:rPr>
        <w:t>；</w:t>
      </w:r>
      <w:r>
        <w:rPr>
          <w:rFonts w:ascii="宋体" w:hAnsi="宋体" w:hint="eastAsia"/>
          <w:color w:val="000000"/>
          <w:szCs w:val="21"/>
        </w:rPr>
        <w:t>④</w:t>
      </w:r>
      <w:r w:rsidRPr="00AD6C3C">
        <w:rPr>
          <w:rFonts w:ascii="Times New Roman" w:hAnsi="Times New Roman" w:hint="eastAsia"/>
          <w:color w:val="000000"/>
          <w:szCs w:val="21"/>
        </w:rPr>
        <w:t>不同文化景观（民俗、诗词、非物质文化）的评价模式</w:t>
      </w:r>
      <w:r>
        <w:rPr>
          <w:rFonts w:ascii="Times New Roman" w:hAnsi="Times New Roman" w:hint="eastAsia"/>
          <w:color w:val="000000"/>
          <w:szCs w:val="21"/>
        </w:rPr>
        <w:t>研究：</w:t>
      </w:r>
      <w:r w:rsidRPr="00AD6C3C">
        <w:rPr>
          <w:rFonts w:ascii="Times New Roman" w:hAnsi="Times New Roman" w:hint="eastAsia"/>
          <w:color w:val="000000"/>
          <w:szCs w:val="21"/>
        </w:rPr>
        <w:t>，说明了文化景观可以进行多维度定量评价，研制了主成分优先法和可转换权重法。揭示了文化景观资源的定量评价存在</w:t>
      </w:r>
      <w:r w:rsidRPr="00AD6C3C">
        <w:rPr>
          <w:rFonts w:ascii="Times New Roman" w:hAnsi="Times New Roman"/>
          <w:color w:val="000000"/>
          <w:szCs w:val="21"/>
        </w:rPr>
        <w:t>AHP</w:t>
      </w:r>
      <w:r w:rsidRPr="00AD6C3C">
        <w:rPr>
          <w:rFonts w:ascii="Times New Roman" w:hAnsi="Times New Roman" w:hint="eastAsia"/>
          <w:color w:val="000000"/>
          <w:szCs w:val="21"/>
        </w:rPr>
        <w:t>固定权重模式以外的变形（</w:t>
      </w:r>
      <w:r w:rsidRPr="00AD6C3C">
        <w:rPr>
          <w:rFonts w:ascii="Times New Roman" w:hAnsi="Times New Roman"/>
          <w:color w:val="000000"/>
          <w:szCs w:val="21"/>
        </w:rPr>
        <w:t>Alternative</w:t>
      </w:r>
      <w:r w:rsidRPr="00AD6C3C">
        <w:rPr>
          <w:rFonts w:ascii="Times New Roman" w:hAnsi="Times New Roman" w:hint="eastAsia"/>
          <w:color w:val="000000"/>
          <w:szCs w:val="21"/>
        </w:rPr>
        <w:t>）模式</w:t>
      </w:r>
      <w:r>
        <w:rPr>
          <w:rFonts w:ascii="Times New Roman" w:hAnsi="Times New Roman" w:hint="eastAsia"/>
          <w:color w:val="000000"/>
          <w:szCs w:val="21"/>
        </w:rPr>
        <w:t>；</w:t>
      </w:r>
      <w:r>
        <w:rPr>
          <w:rFonts w:ascii="宋体" w:hAnsi="宋体" w:hint="eastAsia"/>
          <w:color w:val="000000"/>
          <w:szCs w:val="21"/>
        </w:rPr>
        <w:t>⑤</w:t>
      </w:r>
      <w:r w:rsidRPr="00AD6C3C">
        <w:rPr>
          <w:rFonts w:ascii="Times New Roman" w:hAnsi="Times New Roman" w:hint="eastAsia"/>
          <w:color w:val="000000"/>
          <w:szCs w:val="21"/>
        </w:rPr>
        <w:t>中国大陆、香港、日本不同城镇街区的书法景观的客观空间分布特征</w:t>
      </w:r>
      <w:r>
        <w:rPr>
          <w:rFonts w:ascii="Times New Roman" w:hAnsi="Times New Roman" w:hint="eastAsia"/>
          <w:color w:val="000000"/>
          <w:szCs w:val="21"/>
        </w:rPr>
        <w:t>研究：</w:t>
      </w:r>
      <w:r w:rsidRPr="00AD6C3C">
        <w:rPr>
          <w:rFonts w:ascii="Times New Roman" w:hAnsi="Times New Roman" w:hint="eastAsia"/>
          <w:color w:val="000000"/>
          <w:szCs w:val="21"/>
        </w:rPr>
        <w:t>研制的简易书法景观指数可揭示全球化背景下书法景观多层次空间分异和变迁</w:t>
      </w:r>
      <w:r>
        <w:rPr>
          <w:rFonts w:ascii="Times New Roman" w:hAnsi="Times New Roman" w:hint="eastAsia"/>
          <w:color w:val="000000"/>
          <w:szCs w:val="21"/>
        </w:rPr>
        <w:t>，说明</w:t>
      </w:r>
      <w:r w:rsidRPr="00AD6C3C">
        <w:rPr>
          <w:rFonts w:ascii="Times New Roman" w:hAnsi="Times New Roman" w:hint="eastAsia"/>
          <w:color w:val="000000"/>
          <w:szCs w:val="21"/>
        </w:rPr>
        <w:t>全球化对传统文化景观的影响，宏</w:t>
      </w:r>
      <w:r w:rsidRPr="00AD6C3C">
        <w:rPr>
          <w:rFonts w:ascii="Times New Roman" w:hAnsi="Times New Roman" w:hint="eastAsia"/>
          <w:color w:val="000000"/>
          <w:szCs w:val="21"/>
        </w:rPr>
        <w:lastRenderedPageBreak/>
        <w:t>观上是全面的、局部尺度是有针对性的，文化变迁本身具有空间性。</w:t>
      </w:r>
      <w:r>
        <w:rPr>
          <w:rFonts w:ascii="宋体" w:hAnsi="宋体" w:hint="eastAsia"/>
          <w:color w:val="000000"/>
          <w:szCs w:val="21"/>
        </w:rPr>
        <w:t>⑥</w:t>
      </w:r>
      <w:r w:rsidRPr="00AD6C3C">
        <w:rPr>
          <w:rFonts w:ascii="Times New Roman" w:hAnsi="Times New Roman" w:hint="eastAsia"/>
          <w:color w:val="000000"/>
          <w:szCs w:val="21"/>
        </w:rPr>
        <w:t>中国城镇及景区的书法景观的公众知觉特征</w:t>
      </w:r>
      <w:r>
        <w:rPr>
          <w:rFonts w:ascii="Times New Roman" w:hAnsi="Times New Roman" w:hint="eastAsia"/>
          <w:color w:val="000000"/>
          <w:szCs w:val="21"/>
        </w:rPr>
        <w:t>研究：</w:t>
      </w:r>
      <w:r w:rsidRPr="00AD6C3C">
        <w:rPr>
          <w:rFonts w:ascii="Times New Roman" w:hAnsi="Times New Roman" w:hint="eastAsia"/>
          <w:color w:val="000000"/>
          <w:szCs w:val="21"/>
        </w:rPr>
        <w:t>揭示了书法景观的知觉维度体系，古镇书法景观知觉与经典城市意象的异同</w:t>
      </w:r>
      <w:r>
        <w:rPr>
          <w:rFonts w:ascii="Times New Roman" w:hAnsi="Times New Roman" w:hint="eastAsia"/>
          <w:color w:val="000000"/>
          <w:szCs w:val="21"/>
        </w:rPr>
        <w:t>，</w:t>
      </w:r>
      <w:r w:rsidRPr="00AD6C3C">
        <w:rPr>
          <w:rFonts w:ascii="Times New Roman" w:hAnsi="Times New Roman" w:hint="eastAsia"/>
          <w:color w:val="000000"/>
          <w:szCs w:val="21"/>
        </w:rPr>
        <w:t>将多维度心理知觉模型应用于中国文化景观研究，构建了知觉维度定量分析新方法</w:t>
      </w:r>
      <w:r>
        <w:rPr>
          <w:rFonts w:ascii="Times New Roman" w:hAnsi="Times New Roman" w:hint="eastAsia"/>
          <w:color w:val="000000"/>
          <w:szCs w:val="21"/>
        </w:rPr>
        <w:t>；</w:t>
      </w:r>
      <w:r>
        <w:rPr>
          <w:rFonts w:ascii="宋体" w:hAnsi="宋体" w:hint="eastAsia"/>
          <w:color w:val="000000"/>
          <w:szCs w:val="21"/>
        </w:rPr>
        <w:t>⑦</w:t>
      </w:r>
      <w:r w:rsidRPr="00AD6C3C">
        <w:rPr>
          <w:rFonts w:ascii="Times New Roman" w:hAnsi="Times New Roman" w:hint="eastAsia"/>
          <w:color w:val="000000"/>
          <w:szCs w:val="21"/>
        </w:rPr>
        <w:t>书法景观的态度、认知、体验</w:t>
      </w:r>
      <w:r>
        <w:rPr>
          <w:rFonts w:ascii="Times New Roman" w:hAnsi="Times New Roman" w:hint="eastAsia"/>
          <w:color w:val="000000"/>
          <w:szCs w:val="21"/>
        </w:rPr>
        <w:t>研究：</w:t>
      </w:r>
      <w:r w:rsidRPr="00AD6C3C">
        <w:rPr>
          <w:rFonts w:ascii="Times New Roman" w:hAnsi="Times New Roman" w:hint="eastAsia"/>
          <w:color w:val="000000"/>
          <w:szCs w:val="21"/>
        </w:rPr>
        <w:t>揭示了人们对书法文化的态度、知识等能够影响对书法进体验原真性、态度</w:t>
      </w:r>
      <w:r>
        <w:rPr>
          <w:rFonts w:ascii="Times New Roman" w:hAnsi="Times New Roman" w:hint="eastAsia"/>
          <w:color w:val="000000"/>
          <w:szCs w:val="21"/>
        </w:rPr>
        <w:t>，</w:t>
      </w:r>
      <w:r w:rsidRPr="00AD6C3C">
        <w:rPr>
          <w:rFonts w:ascii="Times New Roman" w:hAnsi="Times New Roman" w:hint="eastAsia"/>
          <w:color w:val="000000"/>
          <w:szCs w:val="21"/>
        </w:rPr>
        <w:t>人们的态度可以影响其文化景观的旅游体验和原真性体验，是对文化认同机制的地理学和实证主义的阐释。</w:t>
      </w:r>
      <w:r>
        <w:rPr>
          <w:rFonts w:ascii="宋体" w:hAnsi="宋体" w:hint="eastAsia"/>
          <w:color w:val="000000"/>
          <w:szCs w:val="21"/>
        </w:rPr>
        <w:t>⑧</w:t>
      </w:r>
      <w:r w:rsidRPr="00AD6C3C">
        <w:rPr>
          <w:rFonts w:ascii="Times New Roman" w:hAnsi="Times New Roman" w:hint="eastAsia"/>
          <w:color w:val="000000"/>
          <w:szCs w:val="21"/>
        </w:rPr>
        <w:t>书法遗产、地方文脉与旅游发展</w:t>
      </w:r>
      <w:r>
        <w:rPr>
          <w:rFonts w:ascii="Times New Roman" w:hAnsi="Times New Roman" w:hint="eastAsia"/>
          <w:color w:val="000000"/>
          <w:szCs w:val="21"/>
        </w:rPr>
        <w:t>模式研究：</w:t>
      </w:r>
      <w:r w:rsidRPr="00AD6C3C">
        <w:rPr>
          <w:rFonts w:ascii="Times New Roman" w:hAnsi="Times New Roman" w:hint="eastAsia"/>
          <w:color w:val="000000"/>
          <w:szCs w:val="21"/>
        </w:rPr>
        <w:t>地方书法文化构成是由地方书法遗产、书法文脉和书法景观构成，书法文化具有文化链属性</w:t>
      </w:r>
      <w:r>
        <w:rPr>
          <w:rFonts w:ascii="Times New Roman" w:hAnsi="Times New Roman" w:hint="eastAsia"/>
          <w:color w:val="000000"/>
          <w:szCs w:val="21"/>
        </w:rPr>
        <w:t>，</w:t>
      </w:r>
      <w:r w:rsidRPr="00AD6C3C">
        <w:rPr>
          <w:rFonts w:ascii="Times New Roman" w:hAnsi="Times New Roman" w:hint="eastAsia"/>
          <w:color w:val="000000"/>
          <w:szCs w:val="21"/>
        </w:rPr>
        <w:t>揭示了特殊文化的空间符号化过程的基本特征，并借此构建了文化地理导向的城市规划和旅游业应用的模式</w:t>
      </w:r>
      <w:r>
        <w:rPr>
          <w:rFonts w:ascii="Times New Roman" w:hAnsi="Times New Roman" w:hint="eastAsia"/>
          <w:color w:val="000000"/>
          <w:szCs w:val="21"/>
        </w:rPr>
        <w:t>；</w:t>
      </w:r>
      <w:r>
        <w:rPr>
          <w:rFonts w:ascii="宋体" w:hAnsi="宋体" w:hint="eastAsia"/>
          <w:color w:val="000000"/>
          <w:szCs w:val="21"/>
        </w:rPr>
        <w:t>⑨</w:t>
      </w:r>
      <w:r w:rsidRPr="00AD6C3C">
        <w:rPr>
          <w:rFonts w:ascii="Times New Roman" w:hAnsi="Times New Roman" w:hint="eastAsia"/>
          <w:color w:val="000000"/>
          <w:szCs w:val="21"/>
        </w:rPr>
        <w:t>研究了书法景观对人们空间行为的影响</w:t>
      </w:r>
      <w:r>
        <w:rPr>
          <w:rFonts w:ascii="Times New Roman" w:hAnsi="Times New Roman" w:hint="eastAsia"/>
          <w:color w:val="000000"/>
          <w:szCs w:val="21"/>
        </w:rPr>
        <w:t>：</w:t>
      </w:r>
      <w:r w:rsidRPr="00AD6C3C">
        <w:rPr>
          <w:rFonts w:ascii="Times New Roman" w:hAnsi="Times New Roman" w:hint="eastAsia"/>
          <w:color w:val="000000"/>
          <w:szCs w:val="21"/>
        </w:rPr>
        <w:t>书法展厅景观中人们行为具有评价指示作用，揭示了书法景观休闲限制的内在机制</w:t>
      </w:r>
      <w:r>
        <w:rPr>
          <w:rFonts w:ascii="Times New Roman" w:hAnsi="Times New Roman" w:hint="eastAsia"/>
          <w:color w:val="000000"/>
          <w:szCs w:val="21"/>
        </w:rPr>
        <w:t>，</w:t>
      </w:r>
      <w:r w:rsidRPr="00AD6C3C">
        <w:rPr>
          <w:rFonts w:ascii="Times New Roman" w:hAnsi="Times New Roman" w:hint="eastAsia"/>
          <w:color w:val="000000"/>
          <w:szCs w:val="21"/>
        </w:rPr>
        <w:t>将文化景观的主观特征研究从知觉为主导的模式延伸至景观中人类</w:t>
      </w:r>
      <w:r w:rsidRPr="00AD6C3C">
        <w:rPr>
          <w:rFonts w:ascii="Times New Roman" w:hAnsi="Times New Roman"/>
          <w:color w:val="000000"/>
          <w:szCs w:val="21"/>
        </w:rPr>
        <w:t>(</w:t>
      </w:r>
      <w:r w:rsidRPr="00AD6C3C">
        <w:rPr>
          <w:rFonts w:ascii="Times New Roman" w:hAnsi="Times New Roman" w:hint="eastAsia"/>
          <w:color w:val="000000"/>
          <w:szCs w:val="21"/>
        </w:rPr>
        <w:t>旅游、审美</w:t>
      </w:r>
      <w:r w:rsidRPr="00AD6C3C">
        <w:rPr>
          <w:rFonts w:ascii="Times New Roman" w:hAnsi="Times New Roman"/>
          <w:color w:val="000000"/>
          <w:szCs w:val="21"/>
        </w:rPr>
        <w:t>)</w:t>
      </w:r>
      <w:r w:rsidRPr="00AD6C3C">
        <w:rPr>
          <w:rFonts w:ascii="Times New Roman" w:hAnsi="Times New Roman" w:hint="eastAsia"/>
          <w:color w:val="000000"/>
          <w:szCs w:val="21"/>
        </w:rPr>
        <w:t>行为模式的研究</w:t>
      </w:r>
      <w:r>
        <w:rPr>
          <w:rFonts w:ascii="Times New Roman" w:hAnsi="Times New Roman" w:hint="eastAsia"/>
          <w:color w:val="000000"/>
          <w:szCs w:val="21"/>
        </w:rPr>
        <w:t>。其它文化研究包括研究了一种传统六孔洞箫的高音域的指法及其传统乐器的传承性等。</w:t>
      </w:r>
    </w:p>
    <w:p w:rsidR="00DA0ECE" w:rsidRPr="002C4757" w:rsidRDefault="00DA0ECE" w:rsidP="002C4757">
      <w:pPr>
        <w:pStyle w:val="a4"/>
        <w:ind w:firstLineChars="0"/>
        <w:rPr>
          <w:rFonts w:ascii="Times New Roman" w:hAnsi="Times New Roman"/>
          <w:color w:val="000000"/>
          <w:szCs w:val="21"/>
        </w:rPr>
      </w:pPr>
    </w:p>
    <w:sectPr w:rsidR="00DA0ECE" w:rsidRPr="002C4757" w:rsidSect="004F34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2DD" w:rsidRDefault="004232DD" w:rsidP="008F4A7E">
      <w:r>
        <w:separator/>
      </w:r>
    </w:p>
  </w:endnote>
  <w:endnote w:type="continuationSeparator" w:id="0">
    <w:p w:rsidR="004232DD" w:rsidRDefault="004232DD" w:rsidP="008F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2DD" w:rsidRDefault="004232DD" w:rsidP="008F4A7E">
      <w:r>
        <w:separator/>
      </w:r>
    </w:p>
  </w:footnote>
  <w:footnote w:type="continuationSeparator" w:id="0">
    <w:p w:rsidR="004232DD" w:rsidRDefault="004232DD" w:rsidP="008F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AAD08C"/>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51245298"/>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CA4EA3EC"/>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6C6CCF50"/>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DD7C6A9E"/>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EB88F90"/>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33A8278"/>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630152A"/>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5C9A13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54108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64B22F2"/>
    <w:multiLevelType w:val="hybridMultilevel"/>
    <w:tmpl w:val="31284078"/>
    <w:lvl w:ilvl="0" w:tplc="8E5CEEB2">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0F097B95"/>
    <w:multiLevelType w:val="hybridMultilevel"/>
    <w:tmpl w:val="8B0E22F2"/>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15:restartNumberingAfterBreak="0">
    <w:nsid w:val="17874D5F"/>
    <w:multiLevelType w:val="hybridMultilevel"/>
    <w:tmpl w:val="126E859E"/>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15:restartNumberingAfterBreak="0">
    <w:nsid w:val="1B1827BC"/>
    <w:multiLevelType w:val="hybridMultilevel"/>
    <w:tmpl w:val="0230632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1D91038F"/>
    <w:multiLevelType w:val="hybridMultilevel"/>
    <w:tmpl w:val="56D49DF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15:restartNumberingAfterBreak="0">
    <w:nsid w:val="1E0B4D84"/>
    <w:multiLevelType w:val="hybridMultilevel"/>
    <w:tmpl w:val="F568238E"/>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15:restartNumberingAfterBreak="0">
    <w:nsid w:val="29CB7C7D"/>
    <w:multiLevelType w:val="hybridMultilevel"/>
    <w:tmpl w:val="8710E8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8B32E0"/>
    <w:multiLevelType w:val="hybridMultilevel"/>
    <w:tmpl w:val="DD106CD6"/>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02D612E"/>
    <w:multiLevelType w:val="singleLevel"/>
    <w:tmpl w:val="BC0CB876"/>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306C4F8E"/>
    <w:multiLevelType w:val="multilevel"/>
    <w:tmpl w:val="5D40DEC6"/>
    <w:lvl w:ilvl="0">
      <w:start w:val="1"/>
      <w:numFmt w:val="decimal"/>
      <w:lvlText w:val="%1."/>
      <w:lvlJc w:val="left"/>
      <w:pPr>
        <w:tabs>
          <w:tab w:val="num" w:pos="780"/>
        </w:tabs>
        <w:ind w:left="780" w:hanging="360"/>
      </w:pPr>
      <w:rPr>
        <w:rFonts w:cs="Times New Roman"/>
      </w:rPr>
    </w:lvl>
    <w:lvl w:ilvl="1" w:tentative="1">
      <w:start w:val="1"/>
      <w:numFmt w:val="decimal"/>
      <w:lvlText w:val="%2."/>
      <w:lvlJc w:val="left"/>
      <w:pPr>
        <w:tabs>
          <w:tab w:val="num" w:pos="1500"/>
        </w:tabs>
        <w:ind w:left="1500" w:hanging="360"/>
      </w:pPr>
      <w:rPr>
        <w:rFonts w:cs="Times New Roman"/>
      </w:rPr>
    </w:lvl>
    <w:lvl w:ilvl="2" w:tentative="1">
      <w:start w:val="1"/>
      <w:numFmt w:val="decimal"/>
      <w:lvlText w:val="%3."/>
      <w:lvlJc w:val="left"/>
      <w:pPr>
        <w:tabs>
          <w:tab w:val="num" w:pos="2220"/>
        </w:tabs>
        <w:ind w:left="2220" w:hanging="36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decimal"/>
      <w:lvlText w:val="%5."/>
      <w:lvlJc w:val="left"/>
      <w:pPr>
        <w:tabs>
          <w:tab w:val="num" w:pos="3660"/>
        </w:tabs>
        <w:ind w:left="3660" w:hanging="360"/>
      </w:pPr>
      <w:rPr>
        <w:rFonts w:cs="Times New Roman"/>
      </w:rPr>
    </w:lvl>
    <w:lvl w:ilvl="5" w:tentative="1">
      <w:start w:val="1"/>
      <w:numFmt w:val="decimal"/>
      <w:lvlText w:val="%6."/>
      <w:lvlJc w:val="left"/>
      <w:pPr>
        <w:tabs>
          <w:tab w:val="num" w:pos="4380"/>
        </w:tabs>
        <w:ind w:left="4380" w:hanging="36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decimal"/>
      <w:lvlText w:val="%8."/>
      <w:lvlJc w:val="left"/>
      <w:pPr>
        <w:tabs>
          <w:tab w:val="num" w:pos="5820"/>
        </w:tabs>
        <w:ind w:left="5820" w:hanging="360"/>
      </w:pPr>
      <w:rPr>
        <w:rFonts w:cs="Times New Roman"/>
      </w:rPr>
    </w:lvl>
    <w:lvl w:ilvl="8" w:tentative="1">
      <w:start w:val="1"/>
      <w:numFmt w:val="decimal"/>
      <w:lvlText w:val="%9."/>
      <w:lvlJc w:val="left"/>
      <w:pPr>
        <w:tabs>
          <w:tab w:val="num" w:pos="6540"/>
        </w:tabs>
        <w:ind w:left="6540" w:hanging="360"/>
      </w:pPr>
      <w:rPr>
        <w:rFonts w:cs="Times New Roman"/>
      </w:rPr>
    </w:lvl>
  </w:abstractNum>
  <w:abstractNum w:abstractNumId="20" w15:restartNumberingAfterBreak="0">
    <w:nsid w:val="30FC799A"/>
    <w:multiLevelType w:val="multilevel"/>
    <w:tmpl w:val="961AF718"/>
    <w:lvl w:ilvl="0">
      <w:start w:val="1"/>
      <w:numFmt w:val="decimal"/>
      <w:lvlText w:val="%1."/>
      <w:lvlJc w:val="left"/>
      <w:pPr>
        <w:ind w:left="840" w:hanging="420"/>
      </w:pPr>
      <w:rPr>
        <w:rFonts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C524CC4"/>
    <w:multiLevelType w:val="hybridMultilevel"/>
    <w:tmpl w:val="870448B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15:restartNumberingAfterBreak="0">
    <w:nsid w:val="42B31FD8"/>
    <w:multiLevelType w:val="multilevel"/>
    <w:tmpl w:val="D12C44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43F58EA"/>
    <w:multiLevelType w:val="hybridMultilevel"/>
    <w:tmpl w:val="961AF718"/>
    <w:lvl w:ilvl="0" w:tplc="0409000F">
      <w:start w:val="1"/>
      <w:numFmt w:val="decimal"/>
      <w:lvlText w:val="%1."/>
      <w:lvlJc w:val="left"/>
      <w:pPr>
        <w:ind w:left="840" w:hanging="420"/>
      </w:pPr>
      <w:rPr>
        <w:rFont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8703EBF"/>
    <w:multiLevelType w:val="hybridMultilevel"/>
    <w:tmpl w:val="B658D9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1434D8"/>
    <w:multiLevelType w:val="hybridMultilevel"/>
    <w:tmpl w:val="08C48A18"/>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6" w15:restartNumberingAfterBreak="0">
    <w:nsid w:val="5BC14BEF"/>
    <w:multiLevelType w:val="hybridMultilevel"/>
    <w:tmpl w:val="B768875C"/>
    <w:lvl w:ilvl="0" w:tplc="0409000F">
      <w:start w:val="1"/>
      <w:numFmt w:val="decimal"/>
      <w:lvlText w:val="%1."/>
      <w:lvlJc w:val="left"/>
      <w:pPr>
        <w:ind w:left="420" w:hanging="420"/>
      </w:pPr>
      <w:rPr>
        <w:rFont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50B31A3"/>
    <w:multiLevelType w:val="hybridMultilevel"/>
    <w:tmpl w:val="126E859E"/>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8" w15:restartNumberingAfterBreak="0">
    <w:nsid w:val="69BF1D78"/>
    <w:multiLevelType w:val="hybridMultilevel"/>
    <w:tmpl w:val="9B56B406"/>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9" w15:restartNumberingAfterBreak="0">
    <w:nsid w:val="74A64495"/>
    <w:multiLevelType w:val="hybridMultilevel"/>
    <w:tmpl w:val="BB24C2AC"/>
    <w:lvl w:ilvl="0" w:tplc="94E45D2C">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0" w15:restartNumberingAfterBreak="0">
    <w:nsid w:val="74E25C42"/>
    <w:multiLevelType w:val="hybridMultilevel"/>
    <w:tmpl w:val="C2E41850"/>
    <w:lvl w:ilvl="0" w:tplc="1F406096">
      <w:start w:val="1"/>
      <w:numFmt w:val="decimal"/>
      <w:lvlText w:val="%1."/>
      <w:lvlJc w:val="left"/>
      <w:pPr>
        <w:tabs>
          <w:tab w:val="num" w:pos="420"/>
        </w:tabs>
        <w:ind w:left="420" w:hanging="420"/>
      </w:pPr>
      <w:rPr>
        <w:rFonts w:cs="Times New Roman"/>
        <w:sz w:val="18"/>
        <w:szCs w:val="1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15:restartNumberingAfterBreak="0">
    <w:nsid w:val="7795708D"/>
    <w:multiLevelType w:val="hybridMultilevel"/>
    <w:tmpl w:val="430A48F2"/>
    <w:lvl w:ilvl="0" w:tplc="E9621182">
      <w:start w:val="1"/>
      <w:numFmt w:val="decimal"/>
      <w:lvlText w:val="%1."/>
      <w:lvlJc w:val="left"/>
      <w:pPr>
        <w:ind w:left="840" w:hanging="420"/>
      </w:pPr>
      <w:rPr>
        <w:rFonts w:ascii="Times New Roman" w:hAnsi="Times New Roman" w:cs="Times New Roman" w:hint="default"/>
        <w:sz w:val="24"/>
        <w:szCs w:val="24"/>
      </w:rPr>
    </w:lvl>
    <w:lvl w:ilvl="1" w:tplc="C914862C">
      <w:start w:val="8"/>
      <w:numFmt w:val="japaneseCounting"/>
      <w:lvlText w:val="%2、"/>
      <w:lvlJc w:val="left"/>
      <w:pPr>
        <w:tabs>
          <w:tab w:val="num" w:pos="1560"/>
        </w:tabs>
        <w:ind w:left="1560" w:hanging="720"/>
      </w:pPr>
      <w:rPr>
        <w:rFonts w:cs="Times New Roman"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2" w15:restartNumberingAfterBreak="0">
    <w:nsid w:val="7C215400"/>
    <w:multiLevelType w:val="hybridMultilevel"/>
    <w:tmpl w:val="AC84C364"/>
    <w:lvl w:ilvl="0" w:tplc="0409000F">
      <w:start w:val="1"/>
      <w:numFmt w:val="decimal"/>
      <w:lvlText w:val="%1."/>
      <w:lvlJc w:val="left"/>
      <w:pPr>
        <w:tabs>
          <w:tab w:val="num" w:pos="840"/>
        </w:tabs>
        <w:ind w:left="840" w:hanging="420"/>
      </w:pPr>
      <w:rPr>
        <w:rFonts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DC367ED"/>
    <w:multiLevelType w:val="hybridMultilevel"/>
    <w:tmpl w:val="99D40878"/>
    <w:lvl w:ilvl="0" w:tplc="0409000F">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6"/>
  </w:num>
  <w:num w:numId="2">
    <w:abstractNumId w:val="12"/>
  </w:num>
  <w:num w:numId="3">
    <w:abstractNumId w:val="22"/>
  </w:num>
  <w:num w:numId="4">
    <w:abstractNumId w:val="19"/>
  </w:num>
  <w:num w:numId="5">
    <w:abstractNumId w:val="13"/>
  </w:num>
  <w:num w:numId="6">
    <w:abstractNumId w:val="27"/>
  </w:num>
  <w:num w:numId="7">
    <w:abstractNumId w:val="29"/>
  </w:num>
  <w:num w:numId="8">
    <w:abstractNumId w:val="25"/>
  </w:num>
  <w:num w:numId="9">
    <w:abstractNumId w:val="15"/>
  </w:num>
  <w:num w:numId="10">
    <w:abstractNumId w:val="10"/>
  </w:num>
  <w:num w:numId="11">
    <w:abstractNumId w:val="33"/>
  </w:num>
  <w:num w:numId="12">
    <w:abstractNumId w:val="24"/>
  </w:num>
  <w:num w:numId="13">
    <w:abstractNumId w:val="26"/>
  </w:num>
  <w:num w:numId="14">
    <w:abstractNumId w:val="23"/>
  </w:num>
  <w:num w:numId="15">
    <w:abstractNumId w:val="11"/>
  </w:num>
  <w:num w:numId="16">
    <w:abstractNumId w:val="30"/>
  </w:num>
  <w:num w:numId="17">
    <w:abstractNumId w:val="21"/>
  </w:num>
  <w:num w:numId="18">
    <w:abstractNumId w:val="31"/>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0"/>
  </w:num>
  <w:num w:numId="30">
    <w:abstractNumId w:val="28"/>
  </w:num>
  <w:num w:numId="31">
    <w:abstractNumId w:val="18"/>
  </w:num>
  <w:num w:numId="32">
    <w:abstractNumId w:val="14"/>
  </w:num>
  <w:num w:numId="33">
    <w:abstractNumId w:val="1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5C"/>
    <w:rsid w:val="0000746F"/>
    <w:rsid w:val="00027F0A"/>
    <w:rsid w:val="000855E2"/>
    <w:rsid w:val="000B0AF6"/>
    <w:rsid w:val="000B1F80"/>
    <w:rsid w:val="000C0561"/>
    <w:rsid w:val="000D1E80"/>
    <w:rsid w:val="001176A2"/>
    <w:rsid w:val="00172893"/>
    <w:rsid w:val="00187357"/>
    <w:rsid w:val="001A7DC8"/>
    <w:rsid w:val="001D4CDA"/>
    <w:rsid w:val="001D789C"/>
    <w:rsid w:val="001F5433"/>
    <w:rsid w:val="002455BC"/>
    <w:rsid w:val="002A469B"/>
    <w:rsid w:val="002A4FB5"/>
    <w:rsid w:val="002B03BB"/>
    <w:rsid w:val="002B27CF"/>
    <w:rsid w:val="002C2EFD"/>
    <w:rsid w:val="002C4757"/>
    <w:rsid w:val="002D5BF5"/>
    <w:rsid w:val="002E27F0"/>
    <w:rsid w:val="00301B9B"/>
    <w:rsid w:val="003062A2"/>
    <w:rsid w:val="0032356A"/>
    <w:rsid w:val="00331B54"/>
    <w:rsid w:val="003459B8"/>
    <w:rsid w:val="00367144"/>
    <w:rsid w:val="0039239E"/>
    <w:rsid w:val="003943CD"/>
    <w:rsid w:val="003A3588"/>
    <w:rsid w:val="003C6913"/>
    <w:rsid w:val="003D1C9E"/>
    <w:rsid w:val="004074EC"/>
    <w:rsid w:val="004232DD"/>
    <w:rsid w:val="004802B7"/>
    <w:rsid w:val="004A6E40"/>
    <w:rsid w:val="004A7A1F"/>
    <w:rsid w:val="004D03E2"/>
    <w:rsid w:val="004F34AD"/>
    <w:rsid w:val="00507801"/>
    <w:rsid w:val="005141A2"/>
    <w:rsid w:val="0055559A"/>
    <w:rsid w:val="00560A2C"/>
    <w:rsid w:val="00592620"/>
    <w:rsid w:val="005944A7"/>
    <w:rsid w:val="005C73E9"/>
    <w:rsid w:val="005D128E"/>
    <w:rsid w:val="005D6415"/>
    <w:rsid w:val="005F39EF"/>
    <w:rsid w:val="006A5B7A"/>
    <w:rsid w:val="006C7166"/>
    <w:rsid w:val="006F6A46"/>
    <w:rsid w:val="00701B29"/>
    <w:rsid w:val="00717AE2"/>
    <w:rsid w:val="00734E4A"/>
    <w:rsid w:val="00736AE1"/>
    <w:rsid w:val="007522F1"/>
    <w:rsid w:val="00760C28"/>
    <w:rsid w:val="007B7484"/>
    <w:rsid w:val="008023F7"/>
    <w:rsid w:val="00807F14"/>
    <w:rsid w:val="00821C61"/>
    <w:rsid w:val="008316B6"/>
    <w:rsid w:val="00840B13"/>
    <w:rsid w:val="008714B9"/>
    <w:rsid w:val="0088005A"/>
    <w:rsid w:val="00880565"/>
    <w:rsid w:val="00892A2B"/>
    <w:rsid w:val="008A3125"/>
    <w:rsid w:val="008B3F10"/>
    <w:rsid w:val="008B4ECC"/>
    <w:rsid w:val="008B679D"/>
    <w:rsid w:val="008F4A7E"/>
    <w:rsid w:val="00900D78"/>
    <w:rsid w:val="00906B43"/>
    <w:rsid w:val="009108EF"/>
    <w:rsid w:val="00990DE2"/>
    <w:rsid w:val="009A5F9A"/>
    <w:rsid w:val="009C4641"/>
    <w:rsid w:val="00A14328"/>
    <w:rsid w:val="00A2198F"/>
    <w:rsid w:val="00A236F3"/>
    <w:rsid w:val="00A26B47"/>
    <w:rsid w:val="00A66985"/>
    <w:rsid w:val="00A922D0"/>
    <w:rsid w:val="00AA7CD5"/>
    <w:rsid w:val="00AC2690"/>
    <w:rsid w:val="00AD6C3C"/>
    <w:rsid w:val="00AF41A3"/>
    <w:rsid w:val="00B029C9"/>
    <w:rsid w:val="00B0594B"/>
    <w:rsid w:val="00B10CB2"/>
    <w:rsid w:val="00B252B3"/>
    <w:rsid w:val="00B2793A"/>
    <w:rsid w:val="00B31FB8"/>
    <w:rsid w:val="00B415BC"/>
    <w:rsid w:val="00B41AFB"/>
    <w:rsid w:val="00B641A7"/>
    <w:rsid w:val="00B65036"/>
    <w:rsid w:val="00B660BD"/>
    <w:rsid w:val="00B747F9"/>
    <w:rsid w:val="00B76C57"/>
    <w:rsid w:val="00B96B04"/>
    <w:rsid w:val="00BA7D73"/>
    <w:rsid w:val="00C00C92"/>
    <w:rsid w:val="00C47DB3"/>
    <w:rsid w:val="00C6275C"/>
    <w:rsid w:val="00C736E9"/>
    <w:rsid w:val="00C92A68"/>
    <w:rsid w:val="00C92D99"/>
    <w:rsid w:val="00CF3E27"/>
    <w:rsid w:val="00CF5550"/>
    <w:rsid w:val="00D01CBF"/>
    <w:rsid w:val="00D20CF8"/>
    <w:rsid w:val="00D57027"/>
    <w:rsid w:val="00D8434B"/>
    <w:rsid w:val="00DA0ECE"/>
    <w:rsid w:val="00DA162A"/>
    <w:rsid w:val="00DA21A3"/>
    <w:rsid w:val="00DA622D"/>
    <w:rsid w:val="00DA75D7"/>
    <w:rsid w:val="00DD793F"/>
    <w:rsid w:val="00DF74B8"/>
    <w:rsid w:val="00E84869"/>
    <w:rsid w:val="00E9510D"/>
    <w:rsid w:val="00EE105F"/>
    <w:rsid w:val="00EF0373"/>
    <w:rsid w:val="00EF5A95"/>
    <w:rsid w:val="00F1706D"/>
    <w:rsid w:val="00F44557"/>
    <w:rsid w:val="00F7553E"/>
    <w:rsid w:val="00F85603"/>
    <w:rsid w:val="00FB23C8"/>
    <w:rsid w:val="00FC75E3"/>
    <w:rsid w:val="00FE3A2E"/>
    <w:rsid w:val="00FF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5F523672"/>
  <w15:docId w15:val="{B84C2732-2B63-4FF3-A41E-64372C0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4AD"/>
    <w:pPr>
      <w:widowControl w:val="0"/>
      <w:jc w:val="both"/>
    </w:pPr>
    <w:rPr>
      <w:kern w:val="2"/>
      <w:sz w:val="21"/>
      <w:szCs w:val="22"/>
    </w:rPr>
  </w:style>
  <w:style w:type="paragraph" w:styleId="1">
    <w:name w:val="heading 1"/>
    <w:basedOn w:val="a"/>
    <w:next w:val="a"/>
    <w:link w:val="10"/>
    <w:uiPriority w:val="99"/>
    <w:qFormat/>
    <w:rsid w:val="00E84869"/>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E84869"/>
    <w:pPr>
      <w:keepNext/>
      <w:keepLines/>
      <w:spacing w:before="260" w:after="260" w:line="416" w:lineRule="auto"/>
      <w:outlineLvl w:val="1"/>
    </w:pPr>
    <w:rPr>
      <w:rFonts w:ascii="Calibri Light" w:hAnsi="Calibri Light"/>
      <w:b/>
      <w:bCs/>
      <w:sz w:val="30"/>
      <w:szCs w:val="32"/>
    </w:rPr>
  </w:style>
  <w:style w:type="paragraph" w:styleId="3">
    <w:name w:val="heading 3"/>
    <w:basedOn w:val="a"/>
    <w:next w:val="a"/>
    <w:link w:val="30"/>
    <w:uiPriority w:val="99"/>
    <w:qFormat/>
    <w:rsid w:val="00E84869"/>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2B03BB"/>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E84869"/>
    <w:rPr>
      <w:rFonts w:cs="Times New Roman"/>
      <w:b/>
      <w:bCs/>
      <w:kern w:val="44"/>
      <w:sz w:val="44"/>
      <w:szCs w:val="44"/>
    </w:rPr>
  </w:style>
  <w:style w:type="character" w:customStyle="1" w:styleId="20">
    <w:name w:val="标题 2 字符"/>
    <w:link w:val="2"/>
    <w:uiPriority w:val="99"/>
    <w:locked/>
    <w:rsid w:val="00E84869"/>
    <w:rPr>
      <w:rFonts w:ascii="Calibri Light" w:eastAsia="宋体" w:hAnsi="Calibri Light" w:cs="Times New Roman"/>
      <w:b/>
      <w:bCs/>
      <w:sz w:val="32"/>
      <w:szCs w:val="32"/>
    </w:rPr>
  </w:style>
  <w:style w:type="character" w:customStyle="1" w:styleId="30">
    <w:name w:val="标题 3 字符"/>
    <w:link w:val="3"/>
    <w:uiPriority w:val="99"/>
    <w:locked/>
    <w:rsid w:val="00E84869"/>
    <w:rPr>
      <w:rFonts w:cs="Times New Roman"/>
      <w:b/>
      <w:bCs/>
      <w:sz w:val="32"/>
      <w:szCs w:val="32"/>
    </w:rPr>
  </w:style>
  <w:style w:type="character" w:customStyle="1" w:styleId="40">
    <w:name w:val="标题 4 字符"/>
    <w:link w:val="4"/>
    <w:uiPriority w:val="99"/>
    <w:locked/>
    <w:rsid w:val="002B03BB"/>
    <w:rPr>
      <w:rFonts w:ascii="Calibri Light" w:eastAsia="宋体" w:hAnsi="Calibri Light" w:cs="Times New Roman"/>
      <w:b/>
      <w:bCs/>
      <w:sz w:val="28"/>
      <w:szCs w:val="28"/>
    </w:rPr>
  </w:style>
  <w:style w:type="character" w:styleId="a3">
    <w:name w:val="Hyperlink"/>
    <w:uiPriority w:val="99"/>
    <w:rsid w:val="00E84869"/>
    <w:rPr>
      <w:rFonts w:cs="Times New Roman"/>
      <w:color w:val="0000FF"/>
      <w:u w:val="single"/>
    </w:rPr>
  </w:style>
  <w:style w:type="character" w:customStyle="1" w:styleId="headline-content">
    <w:name w:val="headline-content"/>
    <w:uiPriority w:val="99"/>
    <w:rsid w:val="002B03BB"/>
    <w:rPr>
      <w:rFonts w:cs="Times New Roman"/>
    </w:rPr>
  </w:style>
  <w:style w:type="character" w:customStyle="1" w:styleId="textedit">
    <w:name w:val="text_edit"/>
    <w:uiPriority w:val="99"/>
    <w:rsid w:val="002B03BB"/>
    <w:rPr>
      <w:rFonts w:cs="Times New Roman"/>
    </w:rPr>
  </w:style>
  <w:style w:type="paragraph" w:styleId="a4">
    <w:name w:val="List Paragraph"/>
    <w:basedOn w:val="a"/>
    <w:uiPriority w:val="99"/>
    <w:qFormat/>
    <w:rsid w:val="002B03BB"/>
    <w:pPr>
      <w:ind w:firstLineChars="200" w:firstLine="420"/>
    </w:pPr>
  </w:style>
  <w:style w:type="paragraph" w:styleId="a5">
    <w:name w:val="Normal (Web)"/>
    <w:basedOn w:val="a"/>
    <w:uiPriority w:val="99"/>
    <w:semiHidden/>
    <w:rsid w:val="00D57027"/>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D57027"/>
    <w:rPr>
      <w:rFonts w:cs="Times New Roman"/>
    </w:rPr>
  </w:style>
  <w:style w:type="character" w:customStyle="1" w:styleId="m1">
    <w:name w:val="m1"/>
    <w:uiPriority w:val="99"/>
    <w:rsid w:val="00331B54"/>
    <w:rPr>
      <w:rFonts w:cs="Times New Roman"/>
      <w:color w:val="666666"/>
    </w:rPr>
  </w:style>
  <w:style w:type="paragraph" w:styleId="a6">
    <w:name w:val="Document Map"/>
    <w:basedOn w:val="a"/>
    <w:link w:val="a7"/>
    <w:uiPriority w:val="99"/>
    <w:semiHidden/>
    <w:rsid w:val="0088005A"/>
    <w:pPr>
      <w:shd w:val="clear" w:color="auto" w:fill="000080"/>
    </w:pPr>
  </w:style>
  <w:style w:type="character" w:customStyle="1" w:styleId="a7">
    <w:name w:val="文档结构图 字符"/>
    <w:link w:val="a6"/>
    <w:uiPriority w:val="99"/>
    <w:semiHidden/>
    <w:locked/>
    <w:rPr>
      <w:rFonts w:ascii="Times New Roman" w:hAnsi="Times New Roman" w:cs="Times New Roman"/>
      <w:sz w:val="2"/>
    </w:rPr>
  </w:style>
  <w:style w:type="paragraph" w:styleId="a8">
    <w:name w:val="header"/>
    <w:basedOn w:val="a"/>
    <w:link w:val="a9"/>
    <w:uiPriority w:val="99"/>
    <w:unhideWhenUsed/>
    <w:rsid w:val="008F4A7E"/>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8F4A7E"/>
    <w:rPr>
      <w:sz w:val="18"/>
      <w:szCs w:val="18"/>
    </w:rPr>
  </w:style>
  <w:style w:type="paragraph" w:styleId="aa">
    <w:name w:val="footer"/>
    <w:basedOn w:val="a"/>
    <w:link w:val="ab"/>
    <w:uiPriority w:val="99"/>
    <w:unhideWhenUsed/>
    <w:rsid w:val="008F4A7E"/>
    <w:pPr>
      <w:tabs>
        <w:tab w:val="center" w:pos="4153"/>
        <w:tab w:val="right" w:pos="8306"/>
      </w:tabs>
      <w:snapToGrid w:val="0"/>
      <w:jc w:val="left"/>
    </w:pPr>
    <w:rPr>
      <w:sz w:val="18"/>
      <w:szCs w:val="18"/>
    </w:rPr>
  </w:style>
  <w:style w:type="character" w:customStyle="1" w:styleId="ab">
    <w:name w:val="页脚 字符"/>
    <w:link w:val="aa"/>
    <w:uiPriority w:val="99"/>
    <w:rsid w:val="008F4A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55512">
      <w:marLeft w:val="0"/>
      <w:marRight w:val="0"/>
      <w:marTop w:val="0"/>
      <w:marBottom w:val="0"/>
      <w:divBdr>
        <w:top w:val="none" w:sz="0" w:space="0" w:color="auto"/>
        <w:left w:val="none" w:sz="0" w:space="0" w:color="auto"/>
        <w:bottom w:val="none" w:sz="0" w:space="0" w:color="auto"/>
        <w:right w:val="none" w:sz="0" w:space="0" w:color="auto"/>
      </w:divBdr>
      <w:divsChild>
        <w:div w:id="128255500">
          <w:marLeft w:val="0"/>
          <w:marRight w:val="0"/>
          <w:marTop w:val="0"/>
          <w:marBottom w:val="75"/>
          <w:divBdr>
            <w:top w:val="none" w:sz="0" w:space="0" w:color="auto"/>
            <w:left w:val="none" w:sz="0" w:space="0" w:color="auto"/>
            <w:bottom w:val="none" w:sz="0" w:space="0" w:color="auto"/>
            <w:right w:val="none" w:sz="0" w:space="0" w:color="auto"/>
          </w:divBdr>
        </w:div>
        <w:div w:id="128255501">
          <w:marLeft w:val="0"/>
          <w:marRight w:val="0"/>
          <w:marTop w:val="0"/>
          <w:marBottom w:val="75"/>
          <w:divBdr>
            <w:top w:val="none" w:sz="0" w:space="0" w:color="auto"/>
            <w:left w:val="none" w:sz="0" w:space="0" w:color="auto"/>
            <w:bottom w:val="none" w:sz="0" w:space="0" w:color="auto"/>
            <w:right w:val="none" w:sz="0" w:space="0" w:color="auto"/>
          </w:divBdr>
        </w:div>
        <w:div w:id="128255511">
          <w:marLeft w:val="0"/>
          <w:marRight w:val="0"/>
          <w:marTop w:val="0"/>
          <w:marBottom w:val="75"/>
          <w:divBdr>
            <w:top w:val="none" w:sz="0" w:space="0" w:color="auto"/>
            <w:left w:val="none" w:sz="0" w:space="0" w:color="auto"/>
            <w:bottom w:val="none" w:sz="0" w:space="0" w:color="auto"/>
            <w:right w:val="none" w:sz="0" w:space="0" w:color="auto"/>
          </w:divBdr>
        </w:div>
        <w:div w:id="128255513">
          <w:marLeft w:val="0"/>
          <w:marRight w:val="0"/>
          <w:marTop w:val="0"/>
          <w:marBottom w:val="75"/>
          <w:divBdr>
            <w:top w:val="none" w:sz="0" w:space="0" w:color="auto"/>
            <w:left w:val="none" w:sz="0" w:space="0" w:color="auto"/>
            <w:bottom w:val="none" w:sz="0" w:space="0" w:color="auto"/>
            <w:right w:val="none" w:sz="0" w:space="0" w:color="auto"/>
          </w:divBdr>
        </w:div>
        <w:div w:id="128255524">
          <w:marLeft w:val="0"/>
          <w:marRight w:val="0"/>
          <w:marTop w:val="0"/>
          <w:marBottom w:val="75"/>
          <w:divBdr>
            <w:top w:val="none" w:sz="0" w:space="0" w:color="auto"/>
            <w:left w:val="none" w:sz="0" w:space="0" w:color="auto"/>
            <w:bottom w:val="none" w:sz="0" w:space="0" w:color="auto"/>
            <w:right w:val="none" w:sz="0" w:space="0" w:color="auto"/>
          </w:divBdr>
        </w:div>
      </w:divsChild>
    </w:div>
    <w:div w:id="128255520">
      <w:marLeft w:val="0"/>
      <w:marRight w:val="0"/>
      <w:marTop w:val="0"/>
      <w:marBottom w:val="0"/>
      <w:divBdr>
        <w:top w:val="none" w:sz="0" w:space="0" w:color="auto"/>
        <w:left w:val="none" w:sz="0" w:space="0" w:color="auto"/>
        <w:bottom w:val="none" w:sz="0" w:space="0" w:color="auto"/>
        <w:right w:val="none" w:sz="0" w:space="0" w:color="auto"/>
      </w:divBdr>
    </w:div>
    <w:div w:id="128255521">
      <w:marLeft w:val="0"/>
      <w:marRight w:val="0"/>
      <w:marTop w:val="0"/>
      <w:marBottom w:val="0"/>
      <w:divBdr>
        <w:top w:val="none" w:sz="0" w:space="0" w:color="auto"/>
        <w:left w:val="none" w:sz="0" w:space="0" w:color="auto"/>
        <w:bottom w:val="none" w:sz="0" w:space="0" w:color="auto"/>
        <w:right w:val="none" w:sz="0" w:space="0" w:color="auto"/>
      </w:divBdr>
      <w:divsChild>
        <w:div w:id="128255507">
          <w:marLeft w:val="0"/>
          <w:marRight w:val="0"/>
          <w:marTop w:val="0"/>
          <w:marBottom w:val="75"/>
          <w:divBdr>
            <w:top w:val="none" w:sz="0" w:space="0" w:color="auto"/>
            <w:left w:val="none" w:sz="0" w:space="0" w:color="auto"/>
            <w:bottom w:val="none" w:sz="0" w:space="0" w:color="auto"/>
            <w:right w:val="none" w:sz="0" w:space="0" w:color="auto"/>
          </w:divBdr>
        </w:div>
        <w:div w:id="128255510">
          <w:marLeft w:val="0"/>
          <w:marRight w:val="0"/>
          <w:marTop w:val="0"/>
          <w:marBottom w:val="75"/>
          <w:divBdr>
            <w:top w:val="none" w:sz="0" w:space="0" w:color="auto"/>
            <w:left w:val="none" w:sz="0" w:space="0" w:color="auto"/>
            <w:bottom w:val="none" w:sz="0" w:space="0" w:color="auto"/>
            <w:right w:val="none" w:sz="0" w:space="0" w:color="auto"/>
          </w:divBdr>
        </w:div>
        <w:div w:id="128255514">
          <w:marLeft w:val="0"/>
          <w:marRight w:val="0"/>
          <w:marTop w:val="0"/>
          <w:marBottom w:val="75"/>
          <w:divBdr>
            <w:top w:val="none" w:sz="0" w:space="0" w:color="auto"/>
            <w:left w:val="none" w:sz="0" w:space="0" w:color="auto"/>
            <w:bottom w:val="none" w:sz="0" w:space="0" w:color="auto"/>
            <w:right w:val="none" w:sz="0" w:space="0" w:color="auto"/>
          </w:divBdr>
        </w:div>
        <w:div w:id="128255522">
          <w:marLeft w:val="0"/>
          <w:marRight w:val="0"/>
          <w:marTop w:val="0"/>
          <w:marBottom w:val="75"/>
          <w:divBdr>
            <w:top w:val="none" w:sz="0" w:space="0" w:color="auto"/>
            <w:left w:val="none" w:sz="0" w:space="0" w:color="auto"/>
            <w:bottom w:val="none" w:sz="0" w:space="0" w:color="auto"/>
            <w:right w:val="none" w:sz="0" w:space="0" w:color="auto"/>
          </w:divBdr>
        </w:div>
      </w:divsChild>
    </w:div>
    <w:div w:id="128255526">
      <w:marLeft w:val="0"/>
      <w:marRight w:val="0"/>
      <w:marTop w:val="0"/>
      <w:marBottom w:val="0"/>
      <w:divBdr>
        <w:top w:val="none" w:sz="0" w:space="0" w:color="auto"/>
        <w:left w:val="none" w:sz="0" w:space="0" w:color="auto"/>
        <w:bottom w:val="none" w:sz="0" w:space="0" w:color="auto"/>
        <w:right w:val="none" w:sz="0" w:space="0" w:color="auto"/>
      </w:divBdr>
      <w:divsChild>
        <w:div w:id="128255499">
          <w:marLeft w:val="0"/>
          <w:marRight w:val="0"/>
          <w:marTop w:val="0"/>
          <w:marBottom w:val="0"/>
          <w:divBdr>
            <w:top w:val="none" w:sz="0" w:space="0" w:color="auto"/>
            <w:left w:val="none" w:sz="0" w:space="0" w:color="auto"/>
            <w:bottom w:val="none" w:sz="0" w:space="0" w:color="auto"/>
            <w:right w:val="none" w:sz="0" w:space="0" w:color="auto"/>
          </w:divBdr>
        </w:div>
        <w:div w:id="128255502">
          <w:marLeft w:val="0"/>
          <w:marRight w:val="0"/>
          <w:marTop w:val="0"/>
          <w:marBottom w:val="0"/>
          <w:divBdr>
            <w:top w:val="none" w:sz="0" w:space="0" w:color="auto"/>
            <w:left w:val="none" w:sz="0" w:space="0" w:color="auto"/>
            <w:bottom w:val="none" w:sz="0" w:space="0" w:color="auto"/>
            <w:right w:val="none" w:sz="0" w:space="0" w:color="auto"/>
          </w:divBdr>
        </w:div>
        <w:div w:id="128255503">
          <w:marLeft w:val="0"/>
          <w:marRight w:val="0"/>
          <w:marTop w:val="0"/>
          <w:marBottom w:val="0"/>
          <w:divBdr>
            <w:top w:val="none" w:sz="0" w:space="0" w:color="auto"/>
            <w:left w:val="none" w:sz="0" w:space="0" w:color="auto"/>
            <w:bottom w:val="none" w:sz="0" w:space="0" w:color="auto"/>
            <w:right w:val="none" w:sz="0" w:space="0" w:color="auto"/>
          </w:divBdr>
        </w:div>
        <w:div w:id="128255504">
          <w:marLeft w:val="0"/>
          <w:marRight w:val="0"/>
          <w:marTop w:val="0"/>
          <w:marBottom w:val="0"/>
          <w:divBdr>
            <w:top w:val="none" w:sz="0" w:space="0" w:color="auto"/>
            <w:left w:val="none" w:sz="0" w:space="0" w:color="auto"/>
            <w:bottom w:val="none" w:sz="0" w:space="0" w:color="auto"/>
            <w:right w:val="none" w:sz="0" w:space="0" w:color="auto"/>
          </w:divBdr>
        </w:div>
        <w:div w:id="128255505">
          <w:marLeft w:val="0"/>
          <w:marRight w:val="0"/>
          <w:marTop w:val="0"/>
          <w:marBottom w:val="0"/>
          <w:divBdr>
            <w:top w:val="none" w:sz="0" w:space="0" w:color="auto"/>
            <w:left w:val="none" w:sz="0" w:space="0" w:color="auto"/>
            <w:bottom w:val="none" w:sz="0" w:space="0" w:color="auto"/>
            <w:right w:val="none" w:sz="0" w:space="0" w:color="auto"/>
          </w:divBdr>
        </w:div>
        <w:div w:id="128255506">
          <w:marLeft w:val="0"/>
          <w:marRight w:val="0"/>
          <w:marTop w:val="0"/>
          <w:marBottom w:val="0"/>
          <w:divBdr>
            <w:top w:val="none" w:sz="0" w:space="0" w:color="auto"/>
            <w:left w:val="none" w:sz="0" w:space="0" w:color="auto"/>
            <w:bottom w:val="none" w:sz="0" w:space="0" w:color="auto"/>
            <w:right w:val="none" w:sz="0" w:space="0" w:color="auto"/>
          </w:divBdr>
        </w:div>
        <w:div w:id="128255508">
          <w:marLeft w:val="0"/>
          <w:marRight w:val="0"/>
          <w:marTop w:val="0"/>
          <w:marBottom w:val="0"/>
          <w:divBdr>
            <w:top w:val="none" w:sz="0" w:space="0" w:color="auto"/>
            <w:left w:val="none" w:sz="0" w:space="0" w:color="auto"/>
            <w:bottom w:val="none" w:sz="0" w:space="0" w:color="auto"/>
            <w:right w:val="none" w:sz="0" w:space="0" w:color="auto"/>
          </w:divBdr>
        </w:div>
        <w:div w:id="128255509">
          <w:marLeft w:val="0"/>
          <w:marRight w:val="0"/>
          <w:marTop w:val="0"/>
          <w:marBottom w:val="0"/>
          <w:divBdr>
            <w:top w:val="none" w:sz="0" w:space="0" w:color="auto"/>
            <w:left w:val="none" w:sz="0" w:space="0" w:color="auto"/>
            <w:bottom w:val="none" w:sz="0" w:space="0" w:color="auto"/>
            <w:right w:val="none" w:sz="0" w:space="0" w:color="auto"/>
          </w:divBdr>
        </w:div>
        <w:div w:id="128255515">
          <w:marLeft w:val="0"/>
          <w:marRight w:val="0"/>
          <w:marTop w:val="0"/>
          <w:marBottom w:val="0"/>
          <w:divBdr>
            <w:top w:val="none" w:sz="0" w:space="0" w:color="auto"/>
            <w:left w:val="none" w:sz="0" w:space="0" w:color="auto"/>
            <w:bottom w:val="none" w:sz="0" w:space="0" w:color="auto"/>
            <w:right w:val="none" w:sz="0" w:space="0" w:color="auto"/>
          </w:divBdr>
        </w:div>
        <w:div w:id="128255516">
          <w:marLeft w:val="0"/>
          <w:marRight w:val="0"/>
          <w:marTop w:val="0"/>
          <w:marBottom w:val="0"/>
          <w:divBdr>
            <w:top w:val="none" w:sz="0" w:space="0" w:color="auto"/>
            <w:left w:val="none" w:sz="0" w:space="0" w:color="auto"/>
            <w:bottom w:val="none" w:sz="0" w:space="0" w:color="auto"/>
            <w:right w:val="none" w:sz="0" w:space="0" w:color="auto"/>
          </w:divBdr>
        </w:div>
        <w:div w:id="128255517">
          <w:marLeft w:val="0"/>
          <w:marRight w:val="0"/>
          <w:marTop w:val="0"/>
          <w:marBottom w:val="0"/>
          <w:divBdr>
            <w:top w:val="none" w:sz="0" w:space="0" w:color="auto"/>
            <w:left w:val="none" w:sz="0" w:space="0" w:color="auto"/>
            <w:bottom w:val="none" w:sz="0" w:space="0" w:color="auto"/>
            <w:right w:val="none" w:sz="0" w:space="0" w:color="auto"/>
          </w:divBdr>
        </w:div>
        <w:div w:id="128255518">
          <w:marLeft w:val="0"/>
          <w:marRight w:val="0"/>
          <w:marTop w:val="0"/>
          <w:marBottom w:val="0"/>
          <w:divBdr>
            <w:top w:val="none" w:sz="0" w:space="0" w:color="auto"/>
            <w:left w:val="none" w:sz="0" w:space="0" w:color="auto"/>
            <w:bottom w:val="none" w:sz="0" w:space="0" w:color="auto"/>
            <w:right w:val="none" w:sz="0" w:space="0" w:color="auto"/>
          </w:divBdr>
        </w:div>
        <w:div w:id="128255519">
          <w:marLeft w:val="0"/>
          <w:marRight w:val="0"/>
          <w:marTop w:val="0"/>
          <w:marBottom w:val="0"/>
          <w:divBdr>
            <w:top w:val="none" w:sz="0" w:space="0" w:color="auto"/>
            <w:left w:val="none" w:sz="0" w:space="0" w:color="auto"/>
            <w:bottom w:val="none" w:sz="0" w:space="0" w:color="auto"/>
            <w:right w:val="none" w:sz="0" w:space="0" w:color="auto"/>
          </w:divBdr>
        </w:div>
        <w:div w:id="128255523">
          <w:marLeft w:val="0"/>
          <w:marRight w:val="0"/>
          <w:marTop w:val="0"/>
          <w:marBottom w:val="0"/>
          <w:divBdr>
            <w:top w:val="none" w:sz="0" w:space="0" w:color="auto"/>
            <w:left w:val="none" w:sz="0" w:space="0" w:color="auto"/>
            <w:bottom w:val="none" w:sz="0" w:space="0" w:color="auto"/>
            <w:right w:val="none" w:sz="0" w:space="0" w:color="auto"/>
          </w:divBdr>
        </w:div>
        <w:div w:id="128255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544</Words>
  <Characters>3102</Characters>
  <Application>Microsoft Office Word</Application>
  <DocSecurity>0</DocSecurity>
  <Lines>25</Lines>
  <Paragraphs>7</Paragraphs>
  <ScaleCrop>false</ScaleCrop>
  <Company>Microsoft</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张 捷</cp:lastModifiedBy>
  <cp:revision>3</cp:revision>
  <dcterms:created xsi:type="dcterms:W3CDTF">2018-09-04T12:30:00Z</dcterms:created>
  <dcterms:modified xsi:type="dcterms:W3CDTF">2018-09-04T12:33:00Z</dcterms:modified>
</cp:coreProperties>
</file>